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445" w:rsidRPr="00D63445" w:rsidRDefault="00D63445" w:rsidP="00D63445">
      <w:pPr>
        <w:spacing w:line="240" w:lineRule="auto"/>
        <w:jc w:val="center"/>
        <w:rPr>
          <w:rFonts w:ascii="Arial" w:eastAsia="Times New Roman" w:hAnsi="Arial"/>
          <w:b/>
          <w:sz w:val="22"/>
          <w:szCs w:val="22"/>
        </w:rPr>
      </w:pPr>
      <w:bookmarkStart w:id="0" w:name="_GoBack"/>
      <w:bookmarkEnd w:id="0"/>
      <w:r w:rsidRPr="00D63445">
        <w:rPr>
          <w:rFonts w:ascii="Arial" w:eastAsia="Times New Roman" w:hAnsi="Arial"/>
          <w:b/>
          <w:sz w:val="22"/>
          <w:szCs w:val="22"/>
        </w:rPr>
        <w:t>AYUNTAMIENTO DEL MUNICIPIO DE CELESTUN</w:t>
      </w:r>
    </w:p>
    <w:p w:rsidR="00D63445" w:rsidRPr="00D63445" w:rsidRDefault="00D63445" w:rsidP="00D63445">
      <w:pPr>
        <w:spacing w:before="100" w:beforeAutospacing="1" w:after="100" w:afterAutospacing="1" w:line="240" w:lineRule="auto"/>
        <w:jc w:val="both"/>
        <w:rPr>
          <w:rFonts w:ascii="Arial" w:eastAsia="Times New Roman" w:hAnsi="Arial"/>
          <w:sz w:val="22"/>
          <w:szCs w:val="22"/>
        </w:rPr>
      </w:pPr>
      <w:r w:rsidRPr="00D63445">
        <w:rPr>
          <w:rFonts w:ascii="Arial" w:eastAsia="Times New Roman" w:hAnsi="Arial"/>
          <w:sz w:val="22"/>
          <w:szCs w:val="22"/>
        </w:rPr>
        <w:t>C. Yulma Yumira García Casanova, Presidenta Municipal del Ayuntamien</w:t>
      </w:r>
      <w:r w:rsidR="0004167F">
        <w:rPr>
          <w:rFonts w:ascii="Arial" w:eastAsia="Times New Roman" w:hAnsi="Arial"/>
          <w:sz w:val="22"/>
          <w:szCs w:val="22"/>
        </w:rPr>
        <w:t>to del Municipio de Celestún, Yucatán</w:t>
      </w:r>
      <w:r w:rsidRPr="00D63445">
        <w:rPr>
          <w:rFonts w:ascii="Arial" w:eastAsia="Times New Roman" w:hAnsi="Arial"/>
          <w:sz w:val="22"/>
          <w:szCs w:val="22"/>
        </w:rPr>
        <w:t xml:space="preserve">, con fundamento en el artículo 56, fracción II </w:t>
      </w:r>
      <w:r w:rsidRPr="00D63445">
        <w:rPr>
          <w:rFonts w:ascii="Arial" w:eastAsia="Times New Roman" w:hAnsi="Arial"/>
          <w:color w:val="000000"/>
          <w:sz w:val="22"/>
          <w:szCs w:val="22"/>
        </w:rPr>
        <w:t>de la Ley de Gobierno de los Municipios del Estado de Yucatán</w:t>
      </w:r>
      <w:r w:rsidRPr="00D63445">
        <w:rPr>
          <w:rFonts w:ascii="Arial" w:eastAsia="Times New Roman" w:hAnsi="Arial"/>
          <w:sz w:val="22"/>
          <w:szCs w:val="22"/>
        </w:rPr>
        <w:t>, a sus habitantes hago saber:</w:t>
      </w:r>
    </w:p>
    <w:p w:rsidR="00D63445" w:rsidRPr="00D63445" w:rsidRDefault="00D63445" w:rsidP="00D63445">
      <w:pPr>
        <w:spacing w:before="100" w:beforeAutospacing="1" w:after="100" w:afterAutospacing="1" w:line="240" w:lineRule="auto"/>
        <w:jc w:val="both"/>
        <w:rPr>
          <w:rFonts w:ascii="Arial" w:eastAsia="Times New Roman" w:hAnsi="Arial"/>
          <w:sz w:val="22"/>
          <w:szCs w:val="22"/>
        </w:rPr>
      </w:pPr>
      <w:r w:rsidRPr="00D63445">
        <w:rPr>
          <w:rFonts w:ascii="Arial" w:eastAsia="Times New Roman" w:hAnsi="Arial"/>
          <w:sz w:val="22"/>
          <w:szCs w:val="22"/>
        </w:rPr>
        <w:t xml:space="preserve">El H. Ayuntamiento del Municipio de </w:t>
      </w:r>
      <w:r w:rsidRPr="00D63445">
        <w:rPr>
          <w:rFonts w:ascii="Arial" w:eastAsia="Times New Roman" w:hAnsi="Arial" w:cs="Times New Roman"/>
          <w:sz w:val="22"/>
          <w:szCs w:val="22"/>
        </w:rPr>
        <w:t>Celestún</w:t>
      </w:r>
      <w:r w:rsidRPr="00D63445">
        <w:rPr>
          <w:rFonts w:ascii="Arial" w:eastAsia="Times New Roman" w:hAnsi="Arial"/>
          <w:sz w:val="22"/>
          <w:szCs w:val="22"/>
        </w:rPr>
        <w:t>, con fundamento en los artículos 115, fracción II, párrafo segundo, de la Constitución Política de los Estados Unidos Mexicanos, 79 de la Constitución Política del Estado de Yucatán, 40, 41, inciso a), fracción III, 77 y 79 de la Ley de Gobierno de los Municipios del Estado de Yucatán, y</w:t>
      </w:r>
    </w:p>
    <w:p w:rsidR="00D63445" w:rsidRPr="00D63445" w:rsidRDefault="00D63445" w:rsidP="00D63445">
      <w:pPr>
        <w:spacing w:before="100" w:beforeAutospacing="1" w:after="100" w:afterAutospacing="1" w:line="240" w:lineRule="auto"/>
        <w:jc w:val="center"/>
        <w:rPr>
          <w:rFonts w:ascii="Arial" w:eastAsia="Times New Roman" w:hAnsi="Arial"/>
          <w:b/>
          <w:sz w:val="22"/>
          <w:szCs w:val="22"/>
        </w:rPr>
      </w:pPr>
      <w:r w:rsidRPr="00D63445">
        <w:rPr>
          <w:rFonts w:ascii="Arial" w:eastAsia="Times New Roman" w:hAnsi="Arial"/>
          <w:b/>
          <w:sz w:val="22"/>
          <w:szCs w:val="22"/>
        </w:rPr>
        <w:t>CONSIDERANDO:</w:t>
      </w:r>
    </w:p>
    <w:p w:rsidR="00D63445" w:rsidRPr="00D63445" w:rsidRDefault="00D63445" w:rsidP="00D63445">
      <w:pPr>
        <w:spacing w:before="100" w:beforeAutospacing="1" w:after="100" w:afterAutospacing="1" w:line="240" w:lineRule="auto"/>
        <w:jc w:val="both"/>
        <w:rPr>
          <w:rFonts w:ascii="Arial" w:eastAsia="Times New Roman" w:hAnsi="Arial"/>
          <w:sz w:val="22"/>
          <w:szCs w:val="22"/>
        </w:rPr>
      </w:pPr>
      <w:r w:rsidRPr="00D63445">
        <w:rPr>
          <w:rFonts w:ascii="Arial" w:eastAsia="Times New Roman" w:hAnsi="Arial"/>
          <w:b/>
          <w:sz w:val="22"/>
          <w:szCs w:val="22"/>
        </w:rPr>
        <w:t xml:space="preserve">Primero. </w:t>
      </w:r>
      <w:r w:rsidRPr="00D63445">
        <w:rPr>
          <w:rFonts w:ascii="Arial" w:eastAsia="Times New Roman" w:hAnsi="Arial"/>
          <w:sz w:val="22"/>
          <w:szCs w:val="22"/>
        </w:rPr>
        <w:t xml:space="preserve">Que la Constitución Política de los Estados Unidos Mexicanos, en su artículo 115,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w:t>
      </w:r>
    </w:p>
    <w:p w:rsidR="00D63445" w:rsidRPr="00D63445" w:rsidRDefault="00D63445" w:rsidP="00D63445">
      <w:pPr>
        <w:spacing w:before="100" w:beforeAutospacing="1" w:after="100" w:afterAutospacing="1" w:line="240" w:lineRule="auto"/>
        <w:jc w:val="both"/>
        <w:rPr>
          <w:rFonts w:ascii="Arial" w:eastAsia="Times New Roman" w:hAnsi="Arial"/>
          <w:b/>
          <w:sz w:val="22"/>
          <w:szCs w:val="22"/>
        </w:rPr>
      </w:pPr>
      <w:r w:rsidRPr="00D63445">
        <w:rPr>
          <w:rFonts w:ascii="Arial" w:eastAsia="Times New Roman" w:hAnsi="Arial"/>
          <w:sz w:val="22"/>
          <w:szCs w:val="22"/>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D63445" w:rsidRPr="00D63445" w:rsidRDefault="00D63445" w:rsidP="00D63445">
      <w:pPr>
        <w:spacing w:before="100" w:beforeAutospacing="1" w:after="100" w:afterAutospacing="1" w:line="240" w:lineRule="auto"/>
        <w:jc w:val="both"/>
        <w:rPr>
          <w:rFonts w:ascii="Arial" w:eastAsia="Times New Roman" w:hAnsi="Arial"/>
          <w:b/>
          <w:sz w:val="22"/>
          <w:szCs w:val="22"/>
        </w:rPr>
      </w:pPr>
      <w:r w:rsidRPr="00D63445">
        <w:rPr>
          <w:rFonts w:ascii="Arial" w:eastAsia="Times New Roman" w:hAnsi="Arial" w:cs="Times New Roman"/>
          <w:b/>
          <w:sz w:val="22"/>
          <w:szCs w:val="22"/>
        </w:rPr>
        <w:t>Segundo</w:t>
      </w:r>
      <w:r w:rsidRPr="00D63445">
        <w:rPr>
          <w:rFonts w:ascii="Arial" w:eastAsia="Times New Roman" w:hAnsi="Arial"/>
          <w:b/>
          <w:sz w:val="22"/>
          <w:szCs w:val="22"/>
        </w:rPr>
        <w:t xml:space="preserve">. </w:t>
      </w:r>
      <w:r w:rsidRPr="00D63445">
        <w:rPr>
          <w:rFonts w:ascii="Arial" w:eastAsia="Times New Roman" w:hAnsi="Arial"/>
          <w:sz w:val="22"/>
          <w:szCs w:val="22"/>
        </w:rPr>
        <w:t>Que la Ley de Gobierno de los Municipios del Estado de Yucatán, de conformidad con su artículo 1, tiene por objeto establecer las bases del gobierno municipal, así como la integración, organización y funcionamiento del ayuntamiento, con sujeción a los mandatos establecidos por la Constitución Política de los Estados Unidos Mexicanos y la Constitución Política del Estado de Yucatán.</w:t>
      </w:r>
    </w:p>
    <w:p w:rsidR="00D63445" w:rsidRPr="00D63445" w:rsidRDefault="00D63445" w:rsidP="00D63445">
      <w:pPr>
        <w:spacing w:before="100" w:beforeAutospacing="1" w:after="100" w:afterAutospacing="1" w:line="240" w:lineRule="auto"/>
        <w:jc w:val="both"/>
        <w:rPr>
          <w:rFonts w:ascii="Arial" w:eastAsia="Times New Roman" w:hAnsi="Arial"/>
          <w:b/>
          <w:sz w:val="22"/>
          <w:szCs w:val="22"/>
        </w:rPr>
      </w:pPr>
      <w:r w:rsidRPr="00D63445">
        <w:rPr>
          <w:rFonts w:ascii="Arial" w:eastAsia="Times New Roman" w:hAnsi="Arial" w:cs="Times New Roman"/>
          <w:b/>
          <w:sz w:val="22"/>
          <w:szCs w:val="22"/>
        </w:rPr>
        <w:t>Tercero</w:t>
      </w:r>
      <w:r w:rsidRPr="00D63445">
        <w:rPr>
          <w:rFonts w:ascii="Arial" w:eastAsia="Times New Roman" w:hAnsi="Arial"/>
          <w:b/>
          <w:sz w:val="22"/>
          <w:szCs w:val="22"/>
        </w:rPr>
        <w:t xml:space="preserve">. </w:t>
      </w:r>
      <w:r w:rsidRPr="00D63445">
        <w:rPr>
          <w:rFonts w:ascii="Arial" w:eastAsia="Times New Roman" w:hAnsi="Arial"/>
          <w:sz w:val="22"/>
          <w:szCs w:val="22"/>
        </w:rPr>
        <w:t>Que la citada ley, en su artículo 41, inciso c) de hacienda, fracción XI, dispone que se remitirá al Congreso del Estado para su aprobación. La primera contendrá la estimación de obligaciones o financiamientos destinados a inversiones públicas productivas, entre otros rubros</w:t>
      </w:r>
      <w:r w:rsidRPr="00D63445">
        <w:rPr>
          <w:rFonts w:ascii="Arial" w:eastAsia="Times New Roman" w:hAnsi="Arial"/>
          <w:i/>
          <w:sz w:val="22"/>
          <w:szCs w:val="22"/>
        </w:rPr>
        <w:t>.</w:t>
      </w:r>
      <w:r w:rsidRPr="00D63445">
        <w:rPr>
          <w:rFonts w:ascii="Arial" w:eastAsia="Times New Roman" w:hAnsi="Arial"/>
          <w:sz w:val="22"/>
          <w:szCs w:val="22"/>
        </w:rPr>
        <w:t xml:space="preserve"> En este sentido, el artículo 56, fracción II, del propio ordenamiento señala que entre las obligaciones del Presidente Municipal se encuentra la de </w:t>
      </w:r>
      <w:r w:rsidRPr="00D63445">
        <w:rPr>
          <w:rFonts w:ascii="Arial" w:eastAsia="Times New Roman" w:hAnsi="Arial"/>
          <w:color w:val="000000"/>
          <w:sz w:val="22"/>
          <w:szCs w:val="22"/>
        </w:rPr>
        <w:t>formular y someter a la aprobación del cabildo, la iniciativa de ley de ingresos y de ley de hacienda, el presupuesto de egresos, el bando de policía y gobierno, los reglamentos y demás disposiciones de observancia general, así como publicarlos en la gaceta municipal.</w:t>
      </w:r>
    </w:p>
    <w:p w:rsidR="00D63445" w:rsidRPr="00D63445" w:rsidRDefault="00D63445" w:rsidP="00D63445">
      <w:pPr>
        <w:spacing w:before="100" w:beforeAutospacing="1" w:after="100" w:afterAutospacing="1" w:line="240" w:lineRule="auto"/>
        <w:jc w:val="both"/>
        <w:rPr>
          <w:rFonts w:ascii="Arial" w:eastAsia="Times New Roman" w:hAnsi="Arial"/>
          <w:sz w:val="22"/>
          <w:szCs w:val="22"/>
        </w:rPr>
      </w:pPr>
      <w:r w:rsidRPr="00D63445">
        <w:rPr>
          <w:rFonts w:ascii="Arial" w:eastAsia="Times New Roman" w:hAnsi="Arial" w:cs="Times New Roman"/>
          <w:b/>
          <w:sz w:val="22"/>
          <w:szCs w:val="22"/>
        </w:rPr>
        <w:t>Cuarto</w:t>
      </w:r>
      <w:r w:rsidRPr="00D63445">
        <w:rPr>
          <w:rFonts w:ascii="Arial" w:eastAsia="Times New Roman" w:hAnsi="Arial"/>
          <w:b/>
          <w:sz w:val="22"/>
          <w:szCs w:val="22"/>
        </w:rPr>
        <w:t xml:space="preserve">. </w:t>
      </w:r>
      <w:r w:rsidRPr="00D63445">
        <w:rPr>
          <w:rFonts w:ascii="Arial" w:eastAsia="Times New Roman" w:hAnsi="Arial"/>
          <w:sz w:val="22"/>
          <w:szCs w:val="22"/>
        </w:rPr>
        <w:t>Que de conformidad con las disposiciones anteriormente referidas, es necesario y se consideró de suma importancia la obligación del pago de las contribuciones para toda persona, física o moral o instituciones oficiales o privadas, sin exenciones o subsidios, por considerarlas como</w:t>
      </w:r>
      <w:r w:rsidRPr="00D63445">
        <w:rPr>
          <w:rFonts w:ascii="Arial" w:eastAsia="Times New Roman" w:hAnsi="Arial" w:cs="Times New Roman"/>
          <w:sz w:val="22"/>
          <w:szCs w:val="22"/>
        </w:rPr>
        <w:t xml:space="preserve"> esenciales para la vida del municipio</w:t>
      </w:r>
      <w:r w:rsidRPr="00D63445">
        <w:rPr>
          <w:rFonts w:ascii="Arial" w:eastAsia="Times New Roman" w:hAnsi="Arial"/>
          <w:sz w:val="22"/>
          <w:szCs w:val="22"/>
        </w:rPr>
        <w:t>.</w:t>
      </w:r>
      <w:r w:rsidRPr="00D63445">
        <w:rPr>
          <w:rFonts w:ascii="Arial" w:eastAsia="Times New Roman" w:hAnsi="Arial" w:cs="Times New Roman"/>
          <w:sz w:val="22"/>
          <w:szCs w:val="22"/>
        </w:rPr>
        <w:t xml:space="preserve"> Con el fin que el municipio </w:t>
      </w:r>
      <w:r w:rsidRPr="00D63445">
        <w:rPr>
          <w:rFonts w:ascii="Arial" w:eastAsia="Times New Roman" w:hAnsi="Arial"/>
          <w:sz w:val="22"/>
          <w:szCs w:val="22"/>
        </w:rPr>
        <w:t>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D63445" w:rsidRPr="00D63445" w:rsidRDefault="00D63445" w:rsidP="00D63445">
      <w:pPr>
        <w:spacing w:before="100" w:beforeAutospacing="1" w:after="100" w:afterAutospacing="1" w:line="240" w:lineRule="auto"/>
        <w:rPr>
          <w:rFonts w:ascii="Arial" w:eastAsia="Times New Roman" w:hAnsi="Arial"/>
          <w:sz w:val="22"/>
          <w:szCs w:val="22"/>
        </w:rPr>
      </w:pPr>
      <w:r w:rsidRPr="00D63445">
        <w:rPr>
          <w:rFonts w:ascii="Arial" w:eastAsia="Times New Roman" w:hAnsi="Arial"/>
          <w:sz w:val="22"/>
          <w:szCs w:val="22"/>
        </w:rPr>
        <w:t>Por las consideraciones expuestas, el H. Ayuntamien</w:t>
      </w:r>
      <w:r w:rsidRPr="00D63445">
        <w:rPr>
          <w:rFonts w:ascii="Arial" w:eastAsia="Times New Roman" w:hAnsi="Arial" w:cs="Times New Roman"/>
          <w:sz w:val="22"/>
          <w:szCs w:val="22"/>
        </w:rPr>
        <w:t>to del Municipio de Celestún</w:t>
      </w:r>
      <w:r w:rsidRPr="00D63445">
        <w:rPr>
          <w:rFonts w:ascii="Arial" w:eastAsia="Times New Roman" w:hAnsi="Arial"/>
          <w:sz w:val="22"/>
          <w:szCs w:val="22"/>
        </w:rPr>
        <w:t>, Yucatán, ha tenido a bien expedir la presente:</w:t>
      </w:r>
    </w:p>
    <w:p w:rsidR="00D63445" w:rsidRPr="00D63445" w:rsidRDefault="00D63445" w:rsidP="00D63445">
      <w:pPr>
        <w:widowControl w:val="0"/>
        <w:autoSpaceDE w:val="0"/>
        <w:autoSpaceDN w:val="0"/>
        <w:adjustRightInd w:val="0"/>
        <w:spacing w:line="276" w:lineRule="auto"/>
        <w:jc w:val="both"/>
        <w:rPr>
          <w:rFonts w:ascii="Arial" w:eastAsia="Times New Roman" w:hAnsi="Arial"/>
          <w:b/>
          <w:bCs/>
          <w:sz w:val="22"/>
          <w:szCs w:val="22"/>
        </w:rPr>
      </w:pPr>
      <w:r w:rsidRPr="00D63445">
        <w:rPr>
          <w:rFonts w:ascii="Arial" w:hAnsi="Arial"/>
          <w:b/>
          <w:sz w:val="22"/>
          <w:szCs w:val="22"/>
        </w:rPr>
        <w:t xml:space="preserve">QUE EL H. AYUNTAMIENTO DE CELESTUN, YUCATÁN ACUERDA LAS REFORMAS, ADICIONES Y MODIFICACIONES A LOS ARTÍCULOS 2, 10, 11, 12, 14, 16, 18, 19, 19 A, 20, 21, 22 A, 22 B, 25 A, 25 B, 25 C, 36, 38 Y 40; DE </w:t>
      </w:r>
      <w:r w:rsidRPr="00D63445">
        <w:rPr>
          <w:rFonts w:ascii="Arial" w:eastAsia="Times New Roman" w:hAnsi="Arial"/>
          <w:b/>
          <w:bCs/>
          <w:sz w:val="22"/>
          <w:szCs w:val="22"/>
        </w:rPr>
        <w:t>LA LEY DE INGRESOS DEL MUNICIPIO DE CELESTUN YUCATÁN, AUTORIZADA PARA EL EJERCICIO FISCAL 2019. AUTORIZADA MEDIANTE EL DECRETO 21/2018 POR PARTE DEL CONGRESO DEL ESTADO DE YUCATAN Y PUBLICADA EN EL DIARIO OFICIAL DEL GOBIERNO DEL ESTADO DE YUCATAN EL DIA VEINTINUEVE DE DICIEMBRE DE DOS MIL DIECINUEVE</w:t>
      </w:r>
    </w:p>
    <w:p w:rsidR="00D63445" w:rsidRPr="00D63445" w:rsidRDefault="00D63445" w:rsidP="00D63445">
      <w:pPr>
        <w:spacing w:before="100" w:beforeAutospacing="1" w:after="100" w:afterAutospacing="1" w:line="276" w:lineRule="auto"/>
        <w:jc w:val="both"/>
        <w:rPr>
          <w:rFonts w:ascii="Arial" w:eastAsiaTheme="minorEastAsia" w:hAnsi="Arial"/>
          <w:b/>
          <w:sz w:val="22"/>
          <w:szCs w:val="22"/>
        </w:rPr>
      </w:pPr>
      <w:r w:rsidRPr="00D63445">
        <w:rPr>
          <w:rFonts w:ascii="Arial" w:eastAsiaTheme="minorEastAsia" w:hAnsi="Arial"/>
          <w:b/>
          <w:sz w:val="22"/>
          <w:szCs w:val="22"/>
        </w:rPr>
        <w:t xml:space="preserve">Para quedar como sigue: </w:t>
      </w: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lastRenderedPageBreak/>
        <w:t xml:space="preserve">SE MODIFICA EL ARTICULO 2 EL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r w:rsidRPr="00D63445">
        <w:rPr>
          <w:rFonts w:ascii="Arial" w:eastAsia="Times New Roman" w:hAnsi="Arial"/>
          <w:b/>
          <w:bCs/>
          <w:sz w:val="22"/>
          <w:szCs w:val="22"/>
        </w:rPr>
        <w:t>Artículo 2.-…</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 así como la Ley de Hacienda del municipio de Celestún</w:t>
      </w:r>
      <w:r w:rsidR="004E2CF9">
        <w:rPr>
          <w:rFonts w:ascii="Arial" w:eastAsia="Times New Roman" w:hAnsi="Arial"/>
          <w:sz w:val="22"/>
          <w:szCs w:val="22"/>
        </w:rPr>
        <w:t>, Yucatán</w:t>
      </w:r>
      <w:r w:rsidRPr="00D63445">
        <w:rPr>
          <w:rFonts w:ascii="Arial" w:eastAsia="Times New Roman" w:hAnsi="Arial"/>
          <w:sz w:val="22"/>
          <w:szCs w:val="22"/>
        </w:rPr>
        <w:t>; Ley de Hacienda Municipal del Estado de Yucatán, el Código Fiscal del Estado de Yucatán y los demás ordenamientos fiscales de carácter local y federal.</w:t>
      </w:r>
    </w:p>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10 EL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sz w:val="22"/>
          <w:szCs w:val="22"/>
        </w:rPr>
        <w:t>Artículo 10.-…</w:t>
      </w:r>
    </w:p>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2"/>
        <w:gridCol w:w="1985"/>
      </w:tblGrid>
      <w:tr w:rsidR="00D63445" w:rsidRPr="00D63445" w:rsidTr="004E2CF9">
        <w:trPr>
          <w:trHeight w:val="547"/>
        </w:trPr>
        <w:tc>
          <w:tcPr>
            <w:tcW w:w="6662" w:type="dxa"/>
            <w:shd w:val="clear" w:color="000000" w:fill="D7E4BC"/>
            <w:vAlign w:val="center"/>
            <w:hideMark/>
          </w:tcPr>
          <w:p w:rsidR="00D63445" w:rsidRPr="00D63445" w:rsidRDefault="00D63445" w:rsidP="00D63445">
            <w:pPr>
              <w:spacing w:line="240" w:lineRule="auto"/>
              <w:ind w:firstLineChars="200" w:firstLine="442"/>
              <w:rPr>
                <w:rFonts w:ascii="Arial" w:eastAsia="Times New Roman" w:hAnsi="Arial"/>
                <w:b/>
                <w:bCs/>
                <w:color w:val="000000"/>
                <w:sz w:val="22"/>
                <w:szCs w:val="22"/>
              </w:rPr>
            </w:pPr>
            <w:r w:rsidRPr="00D63445">
              <w:rPr>
                <w:rFonts w:ascii="Arial" w:eastAsia="Times New Roman" w:hAnsi="Arial"/>
                <w:b/>
                <w:bCs/>
                <w:color w:val="000000"/>
                <w:sz w:val="22"/>
                <w:szCs w:val="22"/>
              </w:rPr>
              <w:t>Participaciones</w:t>
            </w:r>
          </w:p>
        </w:tc>
        <w:tc>
          <w:tcPr>
            <w:tcW w:w="1985" w:type="dxa"/>
            <w:shd w:val="clear" w:color="000000" w:fill="D7E4BC"/>
            <w:vAlign w:val="center"/>
            <w:hideMark/>
          </w:tcPr>
          <w:p w:rsidR="00D63445" w:rsidRPr="00D63445" w:rsidRDefault="00D63445" w:rsidP="00D63445">
            <w:pPr>
              <w:spacing w:line="240" w:lineRule="auto"/>
              <w:jc w:val="right"/>
              <w:rPr>
                <w:rFonts w:ascii="Arial" w:eastAsia="Times New Roman" w:hAnsi="Arial"/>
                <w:b/>
                <w:bCs/>
                <w:color w:val="000000"/>
                <w:sz w:val="22"/>
                <w:szCs w:val="22"/>
              </w:rPr>
            </w:pPr>
            <w:r w:rsidRPr="00D63445">
              <w:rPr>
                <w:rFonts w:ascii="Arial" w:eastAsia="Times New Roman" w:hAnsi="Arial"/>
                <w:b/>
                <w:bCs/>
                <w:color w:val="000000"/>
                <w:sz w:val="22"/>
                <w:szCs w:val="22"/>
              </w:rPr>
              <w:t>$  17,827,776.30</w:t>
            </w:r>
          </w:p>
        </w:tc>
      </w:tr>
      <w:tr w:rsidR="00D63445" w:rsidRPr="00D63445" w:rsidTr="004E2CF9">
        <w:trPr>
          <w:trHeight w:val="547"/>
        </w:trPr>
        <w:tc>
          <w:tcPr>
            <w:tcW w:w="6662" w:type="dxa"/>
            <w:shd w:val="clear" w:color="auto" w:fill="auto"/>
            <w:vAlign w:val="center"/>
            <w:hideMark/>
          </w:tcPr>
          <w:p w:rsidR="00D63445" w:rsidRPr="00D63445" w:rsidRDefault="00D63445" w:rsidP="00D63445">
            <w:pPr>
              <w:spacing w:line="240" w:lineRule="auto"/>
              <w:ind w:firstLineChars="400" w:firstLine="883"/>
              <w:rPr>
                <w:rFonts w:ascii="Arial" w:eastAsia="Times New Roman" w:hAnsi="Arial"/>
                <w:b/>
                <w:bCs/>
                <w:color w:val="000000"/>
                <w:sz w:val="22"/>
                <w:szCs w:val="22"/>
              </w:rPr>
            </w:pPr>
            <w:r w:rsidRPr="00D63445">
              <w:rPr>
                <w:rFonts w:ascii="Arial" w:eastAsia="Times New Roman" w:hAnsi="Arial"/>
                <w:b/>
                <w:bCs/>
                <w:color w:val="000000"/>
                <w:sz w:val="22"/>
                <w:szCs w:val="22"/>
              </w:rPr>
              <w:t>&gt; Participaciones Federales y Estatales</w:t>
            </w:r>
          </w:p>
        </w:tc>
        <w:tc>
          <w:tcPr>
            <w:tcW w:w="1985" w:type="dxa"/>
            <w:shd w:val="clear" w:color="auto" w:fill="auto"/>
            <w:vAlign w:val="center"/>
            <w:hideMark/>
          </w:tcPr>
          <w:p w:rsidR="00D63445" w:rsidRPr="00D63445" w:rsidRDefault="00D63445" w:rsidP="00D63445">
            <w:pPr>
              <w:spacing w:line="240" w:lineRule="auto"/>
              <w:jc w:val="right"/>
              <w:rPr>
                <w:rFonts w:ascii="Arial" w:eastAsia="Times New Roman" w:hAnsi="Arial"/>
                <w:b/>
                <w:bCs/>
                <w:color w:val="000000"/>
                <w:sz w:val="22"/>
                <w:szCs w:val="22"/>
              </w:rPr>
            </w:pPr>
            <w:r w:rsidRPr="00D63445">
              <w:rPr>
                <w:rFonts w:ascii="Arial" w:eastAsia="Times New Roman" w:hAnsi="Arial"/>
                <w:b/>
                <w:bCs/>
                <w:color w:val="000000"/>
                <w:sz w:val="22"/>
                <w:szCs w:val="22"/>
              </w:rPr>
              <w:t>$ 17,827,776.30</w:t>
            </w:r>
          </w:p>
        </w:tc>
      </w:tr>
    </w:tbl>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11 EL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b/>
          <w:sz w:val="22"/>
          <w:szCs w:val="22"/>
        </w:rPr>
      </w:pPr>
      <w:r w:rsidRPr="00D63445">
        <w:rPr>
          <w:rFonts w:ascii="Arial" w:eastAsia="Times New Roman" w:hAnsi="Arial"/>
          <w:b/>
          <w:sz w:val="22"/>
          <w:szCs w:val="22"/>
        </w:rPr>
        <w:t xml:space="preserve">Artículo 11.-… </w:t>
      </w:r>
    </w:p>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tbl>
      <w:tblPr>
        <w:tblW w:w="8505" w:type="dxa"/>
        <w:tblInd w:w="279" w:type="dxa"/>
        <w:tblCellMar>
          <w:left w:w="70" w:type="dxa"/>
          <w:right w:w="70" w:type="dxa"/>
        </w:tblCellMar>
        <w:tblLook w:val="04A0" w:firstRow="1" w:lastRow="0" w:firstColumn="1" w:lastColumn="0" w:noHBand="0" w:noVBand="1"/>
      </w:tblPr>
      <w:tblGrid>
        <w:gridCol w:w="6520"/>
        <w:gridCol w:w="1985"/>
      </w:tblGrid>
      <w:tr w:rsidR="00D63445" w:rsidRPr="00D63445" w:rsidTr="004E2CF9">
        <w:trPr>
          <w:trHeight w:val="470"/>
        </w:trPr>
        <w:tc>
          <w:tcPr>
            <w:tcW w:w="6520" w:type="dxa"/>
            <w:tcBorders>
              <w:top w:val="single" w:sz="4" w:space="0" w:color="auto"/>
              <w:left w:val="single" w:sz="4" w:space="0" w:color="auto"/>
              <w:bottom w:val="single" w:sz="4" w:space="0" w:color="auto"/>
              <w:right w:val="nil"/>
            </w:tcBorders>
            <w:shd w:val="clear" w:color="000000" w:fill="D7E4BC"/>
            <w:vAlign w:val="center"/>
            <w:hideMark/>
          </w:tcPr>
          <w:p w:rsidR="00D63445" w:rsidRPr="00D63445" w:rsidRDefault="00D63445" w:rsidP="00D63445">
            <w:pPr>
              <w:spacing w:line="240" w:lineRule="auto"/>
              <w:ind w:firstLineChars="200" w:firstLine="442"/>
              <w:rPr>
                <w:rFonts w:ascii="Arial" w:eastAsia="Times New Roman" w:hAnsi="Arial"/>
                <w:b/>
                <w:bCs/>
                <w:color w:val="000000"/>
                <w:sz w:val="22"/>
                <w:szCs w:val="22"/>
              </w:rPr>
            </w:pPr>
            <w:r w:rsidRPr="00D63445">
              <w:rPr>
                <w:rFonts w:ascii="Arial" w:eastAsia="Times New Roman" w:hAnsi="Arial"/>
                <w:b/>
                <w:bCs/>
                <w:color w:val="000000"/>
                <w:sz w:val="22"/>
                <w:szCs w:val="22"/>
              </w:rPr>
              <w:t xml:space="preserve">Aportaciones </w:t>
            </w:r>
          </w:p>
        </w:tc>
        <w:tc>
          <w:tcPr>
            <w:tcW w:w="1985"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D63445" w:rsidRPr="00D63445" w:rsidRDefault="00D63445" w:rsidP="00D63445">
            <w:pPr>
              <w:spacing w:line="240" w:lineRule="auto"/>
              <w:jc w:val="right"/>
              <w:rPr>
                <w:rFonts w:ascii="Arial" w:eastAsia="Times New Roman" w:hAnsi="Arial"/>
                <w:b/>
                <w:bCs/>
                <w:color w:val="000000"/>
                <w:sz w:val="22"/>
                <w:szCs w:val="22"/>
              </w:rPr>
            </w:pPr>
            <w:r w:rsidRPr="00D63445">
              <w:rPr>
                <w:rFonts w:ascii="Arial" w:eastAsia="Times New Roman" w:hAnsi="Arial"/>
                <w:b/>
                <w:bCs/>
                <w:color w:val="000000"/>
                <w:sz w:val="22"/>
                <w:szCs w:val="22"/>
              </w:rPr>
              <w:t>$  11,374,162.40</w:t>
            </w:r>
          </w:p>
        </w:tc>
      </w:tr>
      <w:tr w:rsidR="00D63445" w:rsidRPr="00D63445" w:rsidTr="004E2CF9">
        <w:trPr>
          <w:trHeight w:val="470"/>
        </w:trPr>
        <w:tc>
          <w:tcPr>
            <w:tcW w:w="6520" w:type="dxa"/>
            <w:tcBorders>
              <w:top w:val="nil"/>
              <w:left w:val="single" w:sz="4" w:space="0" w:color="auto"/>
              <w:bottom w:val="single" w:sz="4" w:space="0" w:color="auto"/>
              <w:right w:val="nil"/>
            </w:tcBorders>
            <w:shd w:val="clear" w:color="auto" w:fill="auto"/>
            <w:vAlign w:val="center"/>
            <w:hideMark/>
          </w:tcPr>
          <w:p w:rsidR="00D63445" w:rsidRPr="00D63445" w:rsidRDefault="00D63445" w:rsidP="00D63445">
            <w:pPr>
              <w:spacing w:line="240" w:lineRule="auto"/>
              <w:rPr>
                <w:rFonts w:ascii="Arial" w:eastAsia="Times New Roman" w:hAnsi="Arial"/>
                <w:b/>
                <w:bCs/>
                <w:color w:val="000000"/>
                <w:sz w:val="22"/>
                <w:szCs w:val="22"/>
              </w:rPr>
            </w:pPr>
            <w:r w:rsidRPr="00D63445">
              <w:rPr>
                <w:rFonts w:ascii="Arial" w:eastAsia="Times New Roman" w:hAnsi="Arial"/>
                <w:b/>
                <w:bCs/>
                <w:color w:val="000000"/>
                <w:sz w:val="22"/>
                <w:szCs w:val="22"/>
              </w:rPr>
              <w:t>&gt; Fondo de Aportaciones para la Infraestructura Social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63445" w:rsidRPr="00D63445" w:rsidRDefault="00D63445" w:rsidP="00D63445">
            <w:pPr>
              <w:spacing w:line="240" w:lineRule="auto"/>
              <w:jc w:val="right"/>
              <w:rPr>
                <w:rFonts w:ascii="Arial" w:eastAsia="Times New Roman" w:hAnsi="Arial"/>
                <w:b/>
                <w:bCs/>
                <w:color w:val="000000"/>
                <w:sz w:val="22"/>
                <w:szCs w:val="22"/>
              </w:rPr>
            </w:pPr>
            <w:r w:rsidRPr="00D63445">
              <w:rPr>
                <w:rFonts w:ascii="Arial" w:eastAsia="Times New Roman" w:hAnsi="Arial"/>
                <w:b/>
                <w:bCs/>
                <w:color w:val="000000"/>
                <w:sz w:val="22"/>
                <w:szCs w:val="22"/>
              </w:rPr>
              <w:t>5.934.888.30</w:t>
            </w:r>
          </w:p>
        </w:tc>
      </w:tr>
      <w:tr w:rsidR="00D63445" w:rsidRPr="00D63445" w:rsidTr="004E2CF9">
        <w:trPr>
          <w:trHeight w:val="470"/>
        </w:trPr>
        <w:tc>
          <w:tcPr>
            <w:tcW w:w="6520" w:type="dxa"/>
            <w:tcBorders>
              <w:top w:val="nil"/>
              <w:left w:val="single" w:sz="4" w:space="0" w:color="auto"/>
              <w:bottom w:val="single" w:sz="4" w:space="0" w:color="auto"/>
              <w:right w:val="nil"/>
            </w:tcBorders>
            <w:shd w:val="clear" w:color="auto" w:fill="auto"/>
            <w:vAlign w:val="center"/>
            <w:hideMark/>
          </w:tcPr>
          <w:p w:rsidR="00D63445" w:rsidRPr="00D63445" w:rsidRDefault="00D63445" w:rsidP="00D63445">
            <w:pPr>
              <w:spacing w:line="240" w:lineRule="auto"/>
              <w:rPr>
                <w:rFonts w:ascii="Arial" w:eastAsia="Times New Roman" w:hAnsi="Arial"/>
                <w:b/>
                <w:bCs/>
                <w:color w:val="000000"/>
                <w:sz w:val="22"/>
                <w:szCs w:val="22"/>
              </w:rPr>
            </w:pPr>
            <w:r w:rsidRPr="00D63445">
              <w:rPr>
                <w:rFonts w:ascii="Arial" w:eastAsia="Times New Roman" w:hAnsi="Arial"/>
                <w:b/>
                <w:bCs/>
                <w:color w:val="000000"/>
                <w:sz w:val="22"/>
                <w:szCs w:val="22"/>
              </w:rPr>
              <w:t>&gt; Fondo de Aportaciones para el Fortalecimiento Municipal</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D63445" w:rsidRPr="00D63445" w:rsidRDefault="00D63445" w:rsidP="00D63445">
            <w:pPr>
              <w:spacing w:line="240" w:lineRule="auto"/>
              <w:jc w:val="right"/>
              <w:rPr>
                <w:rFonts w:ascii="Arial" w:eastAsia="Times New Roman" w:hAnsi="Arial"/>
                <w:b/>
                <w:bCs/>
                <w:color w:val="000000"/>
                <w:sz w:val="22"/>
                <w:szCs w:val="22"/>
              </w:rPr>
            </w:pPr>
            <w:r w:rsidRPr="00D63445">
              <w:rPr>
                <w:rFonts w:ascii="Arial" w:eastAsia="Times New Roman" w:hAnsi="Arial"/>
                <w:b/>
                <w:bCs/>
                <w:color w:val="000000"/>
                <w:sz w:val="22"/>
                <w:szCs w:val="22"/>
              </w:rPr>
              <w:t>5,439,274.10</w:t>
            </w:r>
          </w:p>
        </w:tc>
      </w:tr>
    </w:tbl>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12 EL QUEDANDO COMO SIGUE: </w:t>
      </w:r>
    </w:p>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b/>
          <w:sz w:val="22"/>
          <w:szCs w:val="22"/>
        </w:rPr>
      </w:pPr>
      <w:r w:rsidRPr="00D63445">
        <w:rPr>
          <w:rFonts w:ascii="Arial" w:eastAsia="Times New Roman" w:hAnsi="Arial"/>
          <w:b/>
          <w:sz w:val="22"/>
          <w:szCs w:val="22"/>
        </w:rPr>
        <w:t xml:space="preserve">Artículo 12.-… </w:t>
      </w:r>
    </w:p>
    <w:p w:rsidR="00D63445" w:rsidRPr="00D63445" w:rsidRDefault="00D63445" w:rsidP="00D63445">
      <w:pPr>
        <w:widowControl w:val="0"/>
        <w:autoSpaceDE w:val="0"/>
        <w:autoSpaceDN w:val="0"/>
        <w:adjustRightInd w:val="0"/>
        <w:spacing w:line="360" w:lineRule="auto"/>
        <w:rPr>
          <w:rFonts w:ascii="Arial" w:eastAsia="Times New Roman" w:hAnsi="Arial"/>
          <w:b/>
          <w:bCs/>
          <w:sz w:val="22"/>
          <w:szCs w:val="22"/>
        </w:rPr>
      </w:pPr>
    </w:p>
    <w:tbl>
      <w:tblPr>
        <w:tblpPr w:leftFromText="141" w:rightFromText="141" w:vertAnchor="text" w:horzAnchor="margin" w:tblpXSpec="center" w:tblpY="82"/>
        <w:tblW w:w="8793" w:type="dxa"/>
        <w:tblLayout w:type="fixed"/>
        <w:tblCellMar>
          <w:left w:w="0" w:type="dxa"/>
          <w:right w:w="0" w:type="dxa"/>
        </w:tblCellMar>
        <w:tblLook w:val="0000" w:firstRow="0" w:lastRow="0" w:firstColumn="0" w:lastColumn="0" w:noHBand="0" w:noVBand="0"/>
      </w:tblPr>
      <w:tblGrid>
        <w:gridCol w:w="6946"/>
        <w:gridCol w:w="1847"/>
      </w:tblGrid>
      <w:tr w:rsidR="00D63445" w:rsidRPr="00D63445" w:rsidTr="004E2CF9">
        <w:trPr>
          <w:trHeight w:hRule="exact" w:val="719"/>
        </w:trPr>
        <w:tc>
          <w:tcPr>
            <w:tcW w:w="6946" w:type="dxa"/>
            <w:tcBorders>
              <w:top w:val="single" w:sz="4" w:space="0" w:color="000000"/>
              <w:left w:val="single" w:sz="4" w:space="0" w:color="000000"/>
              <w:bottom w:val="single" w:sz="4" w:space="0" w:color="000000"/>
              <w:right w:val="single" w:sz="4" w:space="0" w:color="000000"/>
            </w:tcBorders>
          </w:tcPr>
          <w:p w:rsidR="00D63445" w:rsidRPr="00D63445" w:rsidRDefault="00D63445" w:rsidP="00D63445">
            <w:pPr>
              <w:widowControl w:val="0"/>
              <w:autoSpaceDE w:val="0"/>
              <w:autoSpaceDN w:val="0"/>
              <w:adjustRightInd w:val="0"/>
              <w:spacing w:line="360" w:lineRule="auto"/>
              <w:rPr>
                <w:rFonts w:ascii="Arial" w:eastAsia="Times New Roman" w:hAnsi="Arial"/>
                <w:b/>
                <w:sz w:val="22"/>
                <w:szCs w:val="22"/>
              </w:rPr>
            </w:pPr>
            <w:r w:rsidRPr="00D63445">
              <w:rPr>
                <w:rFonts w:ascii="Arial" w:eastAsia="Times New Roman" w:hAnsi="Arial"/>
                <w:b/>
                <w:bCs/>
                <w:sz w:val="22"/>
                <w:szCs w:val="22"/>
              </w:rPr>
              <w:t xml:space="preserve">EL TOTAL DE INGRESOS QUE EL MUNICIPIO DE </w:t>
            </w:r>
            <w:r w:rsidRPr="00D63445">
              <w:rPr>
                <w:rFonts w:ascii="Arial" w:eastAsia="Times New Roman" w:hAnsi="Arial"/>
                <w:b/>
                <w:sz w:val="22"/>
                <w:szCs w:val="22"/>
              </w:rPr>
              <w:t>CELESTUN</w:t>
            </w:r>
            <w:r w:rsidRPr="00D63445">
              <w:rPr>
                <w:rFonts w:ascii="Arial" w:eastAsia="Times New Roman" w:hAnsi="Arial"/>
                <w:b/>
                <w:bCs/>
                <w:sz w:val="22"/>
                <w:szCs w:val="22"/>
              </w:rPr>
              <w:t>, YUCATÁN PERCIBIRÁ DURANTE EL EJERCICIO FISCAL 2019, ASCENDERÁ A:</w:t>
            </w:r>
          </w:p>
        </w:tc>
        <w:tc>
          <w:tcPr>
            <w:tcW w:w="1847" w:type="dxa"/>
            <w:tcBorders>
              <w:top w:val="single" w:sz="4" w:space="0" w:color="000000"/>
              <w:left w:val="single" w:sz="4" w:space="0" w:color="000000"/>
              <w:bottom w:val="single" w:sz="4" w:space="0" w:color="000000"/>
              <w:right w:val="single" w:sz="4" w:space="0" w:color="000000"/>
            </w:tcBorders>
          </w:tcPr>
          <w:p w:rsidR="00D63445" w:rsidRPr="00D63445" w:rsidRDefault="00D63445" w:rsidP="00D63445">
            <w:pPr>
              <w:widowControl w:val="0"/>
              <w:autoSpaceDE w:val="0"/>
              <w:autoSpaceDN w:val="0"/>
              <w:adjustRightInd w:val="0"/>
              <w:spacing w:line="360" w:lineRule="auto"/>
              <w:jc w:val="right"/>
              <w:rPr>
                <w:rFonts w:ascii="Arial" w:eastAsia="Times New Roman" w:hAnsi="Arial"/>
                <w:b/>
                <w:bCs/>
                <w:sz w:val="22"/>
                <w:szCs w:val="22"/>
              </w:rPr>
            </w:pPr>
          </w:p>
          <w:p w:rsidR="00D63445" w:rsidRPr="00D63445" w:rsidRDefault="00D63445" w:rsidP="00D63445">
            <w:pPr>
              <w:widowControl w:val="0"/>
              <w:autoSpaceDE w:val="0"/>
              <w:autoSpaceDN w:val="0"/>
              <w:adjustRightInd w:val="0"/>
              <w:spacing w:line="360" w:lineRule="auto"/>
              <w:jc w:val="center"/>
              <w:rPr>
                <w:rFonts w:ascii="Arial" w:eastAsia="Times New Roman" w:hAnsi="Arial"/>
                <w:b/>
                <w:sz w:val="22"/>
                <w:szCs w:val="22"/>
              </w:rPr>
            </w:pPr>
            <w:r w:rsidRPr="00D63445">
              <w:rPr>
                <w:rFonts w:ascii="Arial" w:eastAsia="Times New Roman" w:hAnsi="Arial"/>
                <w:b/>
                <w:bCs/>
                <w:sz w:val="22"/>
                <w:szCs w:val="22"/>
              </w:rPr>
              <w:t>$  50´466,540.70</w:t>
            </w:r>
          </w:p>
        </w:tc>
      </w:tr>
    </w:tbl>
    <w:p w:rsidR="00D63445" w:rsidRPr="00D63445" w:rsidRDefault="00D63445" w:rsidP="00D63445">
      <w:pPr>
        <w:widowControl w:val="0"/>
        <w:autoSpaceDE w:val="0"/>
        <w:autoSpaceDN w:val="0"/>
        <w:adjustRightInd w:val="0"/>
        <w:spacing w:line="360" w:lineRule="auto"/>
        <w:jc w:val="center"/>
        <w:rPr>
          <w:rFonts w:ascii="Arial" w:eastAsia="Times New Roman" w:hAnsi="Arial"/>
          <w:b/>
          <w:bCs/>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14 EL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Artículo 14.-…</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 xml:space="preserve">y durante el segundo mes de un 15%. </w:t>
      </w:r>
    </w:p>
    <w:p w:rsidR="00D63445" w:rsidRPr="00D63445" w:rsidRDefault="00D63445" w:rsidP="00D63445">
      <w:pPr>
        <w:widowControl w:val="0"/>
        <w:autoSpaceDE w:val="0"/>
        <w:autoSpaceDN w:val="0"/>
        <w:adjustRightInd w:val="0"/>
        <w:spacing w:line="360" w:lineRule="auto"/>
        <w:jc w:val="both"/>
        <w:rPr>
          <w:rFonts w:ascii="Arial" w:eastAsia="Times New Roman" w:hAnsi="Arial"/>
          <w:b/>
          <w:sz w:val="22"/>
          <w:szCs w:val="22"/>
        </w:rPr>
      </w:pPr>
      <w:r w:rsidRPr="00D63445">
        <w:rPr>
          <w:rFonts w:ascii="Arial" w:eastAsia="Times New Roman" w:hAnsi="Arial"/>
          <w:b/>
          <w:sz w:val="22"/>
          <w:szCs w:val="22"/>
        </w:rPr>
        <w:t>…</w:t>
      </w:r>
    </w:p>
    <w:p w:rsidR="00D63445" w:rsidRPr="00D63445" w:rsidRDefault="00D63445" w:rsidP="00D63445">
      <w:pPr>
        <w:spacing w:line="240" w:lineRule="auto"/>
        <w:jc w:val="both"/>
        <w:rPr>
          <w:rFonts w:ascii="Arial" w:hAnsi="Arial"/>
          <w:sz w:val="22"/>
          <w:szCs w:val="22"/>
        </w:rPr>
      </w:pPr>
      <w:r w:rsidRPr="00D63445">
        <w:rPr>
          <w:rFonts w:ascii="Arial" w:hAnsi="Arial"/>
          <w:sz w:val="22"/>
          <w:szCs w:val="22"/>
        </w:rPr>
        <w:t>Los contribuyentes que regularizaren su situación ante la Hacienda Municipal respecto del impuesto predial no enterado en años anteriores, gozaran de los siguientes beneficios respecto de los conceptos y periodos de tiempo que a continuación se señalan:</w:t>
      </w:r>
    </w:p>
    <w:p w:rsidR="00D63445" w:rsidRPr="00D63445" w:rsidRDefault="00D63445" w:rsidP="00D63445">
      <w:pPr>
        <w:numPr>
          <w:ilvl w:val="0"/>
          <w:numId w:val="27"/>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Si enteraren el concepto de su regularización durante el primer mes del ejercicio fiscal, gozaran de un 100% de descuento en los recargos y actualizaciones generado desde el momento en que debió enterarse el impuesto;</w:t>
      </w:r>
    </w:p>
    <w:p w:rsidR="00D63445" w:rsidRPr="00D63445" w:rsidRDefault="00D63445" w:rsidP="00D63445">
      <w:pPr>
        <w:numPr>
          <w:ilvl w:val="0"/>
          <w:numId w:val="27"/>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Si enteraren el concepto de su regularización durante el segundo mes del ejercicio fiscal, gozaran de un 75% de descuento en los recargos y actualizaciones generado desde el momento en que debió enterarse el impuesto;</w:t>
      </w:r>
    </w:p>
    <w:p w:rsidR="00D63445" w:rsidRPr="00D63445" w:rsidRDefault="00D63445" w:rsidP="00D63445">
      <w:pPr>
        <w:numPr>
          <w:ilvl w:val="0"/>
          <w:numId w:val="27"/>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Si enteraren el concepto de su regularización durante el segundo bimestre del ejercicio fiscal, gozaran de un 50% de descuento en los recargos y actualizaciones generado desde el momento en que debió enterarse el impuesto;</w:t>
      </w:r>
    </w:p>
    <w:p w:rsidR="00D63445" w:rsidRPr="00D63445" w:rsidRDefault="00D63445" w:rsidP="00D63445">
      <w:pPr>
        <w:numPr>
          <w:ilvl w:val="0"/>
          <w:numId w:val="27"/>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Si enteraren el concepto de su regularización durante el tercer bimestre del ejercicio fiscal, gozaran de un 25% de descuento en los recargos y actualizaciones generado desde el momento en que debió enterarse el impuesto.</w:t>
      </w:r>
    </w:p>
    <w:p w:rsidR="00D63445" w:rsidRPr="00D63445" w:rsidRDefault="00D63445" w:rsidP="00D63445">
      <w:pPr>
        <w:spacing w:line="240" w:lineRule="auto"/>
        <w:jc w:val="both"/>
        <w:rPr>
          <w:rFonts w:ascii="Arial" w:hAnsi="Arial"/>
          <w:sz w:val="22"/>
          <w:szCs w:val="22"/>
        </w:rPr>
      </w:pPr>
    </w:p>
    <w:p w:rsidR="00D63445" w:rsidRPr="00D63445" w:rsidRDefault="00D63445" w:rsidP="00D63445">
      <w:pPr>
        <w:spacing w:line="240" w:lineRule="auto"/>
        <w:jc w:val="both"/>
        <w:rPr>
          <w:rFonts w:ascii="Arial" w:hAnsi="Arial"/>
          <w:sz w:val="22"/>
          <w:szCs w:val="22"/>
        </w:rPr>
      </w:pPr>
      <w:r w:rsidRPr="00D63445">
        <w:rPr>
          <w:rFonts w:ascii="Arial" w:hAnsi="Arial"/>
          <w:sz w:val="22"/>
          <w:szCs w:val="22"/>
        </w:rPr>
        <w:t>Cuando alguno de los plazos a que se refiere este artículo venciese en día inhábil, el plazo se entenderá prorrogado hasta el día hábil siguiente.</w:t>
      </w:r>
    </w:p>
    <w:p w:rsidR="00D63445" w:rsidRPr="00D63445" w:rsidRDefault="00D63445" w:rsidP="00D63445">
      <w:pPr>
        <w:spacing w:line="240" w:lineRule="auto"/>
        <w:ind w:firstLine="80"/>
        <w:jc w:val="both"/>
        <w:outlineLvl w:val="0"/>
        <w:rPr>
          <w:rFonts w:ascii="Arial" w:eastAsia="Arial" w:hAnsi="Arial"/>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Arial" w:hAnsi="Arial"/>
          <w:sz w:val="22"/>
          <w:szCs w:val="22"/>
        </w:rPr>
        <w:t>Así mismo los pensionados y jubilados que demuestren esta condición gozarán de un descuento del 50% anual si pagan su impuesto durante el primer bimestre del año.</w:t>
      </w:r>
    </w:p>
    <w:p w:rsidR="00D63445" w:rsidRPr="00D63445" w:rsidRDefault="00D63445" w:rsidP="00D63445">
      <w:pPr>
        <w:widowControl w:val="0"/>
        <w:autoSpaceDE w:val="0"/>
        <w:autoSpaceDN w:val="0"/>
        <w:adjustRightInd w:val="0"/>
        <w:spacing w:line="360" w:lineRule="auto"/>
        <w:rPr>
          <w:rFonts w:ascii="Arial" w:eastAsia="Times New Roman" w:hAnsi="Arial"/>
          <w:b/>
          <w:bCs/>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16 EL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Artículo 16.-…</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 la Ley de Hacienda del Municipio de Celestún, Yucatán.</w:t>
      </w:r>
    </w:p>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18 EL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Artículo 18.-…</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 la Ley de Hacienda del Municipio de Celestún, Yucatán.</w:t>
      </w:r>
    </w:p>
    <w:p w:rsidR="00D63445" w:rsidRPr="00D63445" w:rsidRDefault="00D63445" w:rsidP="00D63445">
      <w:pPr>
        <w:widowControl w:val="0"/>
        <w:autoSpaceDE w:val="0"/>
        <w:autoSpaceDN w:val="0"/>
        <w:adjustRightInd w:val="0"/>
        <w:spacing w:line="360" w:lineRule="auto"/>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19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Artículo 19.-…</w:t>
      </w:r>
    </w:p>
    <w:p w:rsidR="00D63445" w:rsidRPr="00D63445" w:rsidRDefault="00D63445" w:rsidP="00D63445">
      <w:pPr>
        <w:widowControl w:val="0"/>
        <w:autoSpaceDE w:val="0"/>
        <w:autoSpaceDN w:val="0"/>
        <w:adjustRightInd w:val="0"/>
        <w:spacing w:line="360" w:lineRule="auto"/>
        <w:ind w:firstLine="118"/>
        <w:jc w:val="both"/>
        <w:rPr>
          <w:rFonts w:ascii="Arial" w:eastAsia="Times New Roman" w:hAnsi="Arial"/>
          <w:b/>
          <w:sz w:val="22"/>
          <w:szCs w:val="22"/>
        </w:rPr>
      </w:pPr>
      <w:r w:rsidRPr="00D63445">
        <w:rPr>
          <w:rFonts w:ascii="Arial" w:eastAsia="Times New Roman" w:hAnsi="Arial"/>
          <w:b/>
          <w:sz w:val="22"/>
          <w:szCs w:val="22"/>
        </w:rPr>
        <w:t>…</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Para la expedición de dichas licencias de apertura los interesados deberán presentar ante la Tesorería municipal, su solicitud de acuerdo a los requisitos establecidos en el artículo 41 de la Ley de Hacienda del Municipio de Celestún, Yucatán.</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ADICIONA  EL ARTICULO 19 A)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 xml:space="preserve">Artículo 19 A.- </w:t>
      </w:r>
      <w:r w:rsidRPr="00D63445">
        <w:rPr>
          <w:rFonts w:ascii="Arial" w:eastAsia="Times New Roman" w:hAnsi="Arial"/>
          <w:sz w:val="22"/>
          <w:szCs w:val="22"/>
        </w:rPr>
        <w:t>Por los permisos eventuales para el funcionamiento de establecimientos o locales cuyos giros sean la prestación de servicios que no incluyan el expendio de bebidas alcohólicas, se les aplicara la tarifa diaria que a continuación se señala:</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tbl>
      <w:tblPr>
        <w:tblStyle w:val="Tablaconcuadrcula1"/>
        <w:tblW w:w="0" w:type="auto"/>
        <w:tblInd w:w="279" w:type="dxa"/>
        <w:tblLook w:val="04A0" w:firstRow="1" w:lastRow="0" w:firstColumn="1" w:lastColumn="0" w:noHBand="0" w:noVBand="1"/>
      </w:tblPr>
      <w:tblGrid>
        <w:gridCol w:w="6157"/>
        <w:gridCol w:w="1953"/>
      </w:tblGrid>
      <w:tr w:rsidR="00D63445" w:rsidRPr="00D63445" w:rsidTr="004E2CF9">
        <w:trPr>
          <w:trHeight w:val="389"/>
        </w:trPr>
        <w:tc>
          <w:tcPr>
            <w:tcW w:w="6520" w:type="dxa"/>
          </w:tcPr>
          <w:p w:rsidR="00D63445" w:rsidRPr="00D63445" w:rsidRDefault="00D63445" w:rsidP="00D63445">
            <w:pPr>
              <w:widowControl w:val="0"/>
              <w:autoSpaceDE w:val="0"/>
              <w:autoSpaceDN w:val="0"/>
              <w:adjustRightInd w:val="0"/>
              <w:spacing w:line="360" w:lineRule="auto"/>
              <w:jc w:val="center"/>
              <w:rPr>
                <w:rFonts w:ascii="Arial" w:eastAsia="Times New Roman" w:hAnsi="Arial"/>
                <w:b/>
                <w:sz w:val="22"/>
                <w:szCs w:val="22"/>
              </w:rPr>
            </w:pPr>
            <w:r w:rsidRPr="00D63445">
              <w:rPr>
                <w:rFonts w:ascii="Arial" w:eastAsia="Times New Roman" w:hAnsi="Arial"/>
                <w:b/>
                <w:sz w:val="22"/>
                <w:szCs w:val="22"/>
              </w:rPr>
              <w:t>GIRO</w:t>
            </w:r>
          </w:p>
        </w:tc>
        <w:tc>
          <w:tcPr>
            <w:tcW w:w="2029" w:type="dxa"/>
          </w:tcPr>
          <w:p w:rsidR="00D63445" w:rsidRPr="00D63445" w:rsidRDefault="00D63445" w:rsidP="00D63445">
            <w:pPr>
              <w:widowControl w:val="0"/>
              <w:autoSpaceDE w:val="0"/>
              <w:autoSpaceDN w:val="0"/>
              <w:adjustRightInd w:val="0"/>
              <w:spacing w:line="360" w:lineRule="auto"/>
              <w:jc w:val="center"/>
              <w:rPr>
                <w:rFonts w:ascii="Arial" w:eastAsia="Times New Roman" w:hAnsi="Arial"/>
                <w:b/>
                <w:sz w:val="22"/>
                <w:szCs w:val="22"/>
              </w:rPr>
            </w:pPr>
            <w:r w:rsidRPr="00D63445">
              <w:rPr>
                <w:rFonts w:ascii="Arial" w:eastAsia="Times New Roman" w:hAnsi="Arial"/>
                <w:b/>
                <w:sz w:val="22"/>
                <w:szCs w:val="22"/>
              </w:rPr>
              <w:t>CUOTA</w:t>
            </w:r>
          </w:p>
        </w:tc>
      </w:tr>
      <w:tr w:rsidR="00D63445" w:rsidRPr="00D63445" w:rsidTr="004E2CF9">
        <w:trPr>
          <w:trHeight w:val="611"/>
        </w:trPr>
        <w:tc>
          <w:tcPr>
            <w:tcW w:w="6520" w:type="dxa"/>
          </w:tcPr>
          <w:p w:rsidR="00D63445" w:rsidRPr="00D63445" w:rsidRDefault="00D63445" w:rsidP="00D63445">
            <w:pPr>
              <w:widowControl w:val="0"/>
              <w:autoSpaceDE w:val="0"/>
              <w:autoSpaceDN w:val="0"/>
              <w:adjustRightInd w:val="0"/>
              <w:spacing w:line="276" w:lineRule="auto"/>
              <w:jc w:val="both"/>
              <w:rPr>
                <w:rFonts w:ascii="Arial" w:eastAsia="Times New Roman" w:hAnsi="Arial"/>
                <w:sz w:val="22"/>
                <w:szCs w:val="22"/>
              </w:rPr>
            </w:pPr>
            <w:r w:rsidRPr="00D63445">
              <w:rPr>
                <w:rFonts w:ascii="Arial" w:eastAsia="Times New Roman" w:hAnsi="Arial"/>
                <w:sz w:val="22"/>
                <w:szCs w:val="22"/>
              </w:rPr>
              <w:t>Tiendas de abarrotes, Súper mercados y Mini Súper sin departamento de licores, (venta de Sidra)</w:t>
            </w:r>
          </w:p>
        </w:tc>
        <w:tc>
          <w:tcPr>
            <w:tcW w:w="2029" w:type="dxa"/>
          </w:tcPr>
          <w:p w:rsidR="00D63445" w:rsidRPr="00D63445" w:rsidRDefault="00D63445" w:rsidP="00D63445">
            <w:pPr>
              <w:widowControl w:val="0"/>
              <w:autoSpaceDE w:val="0"/>
              <w:autoSpaceDN w:val="0"/>
              <w:adjustRightInd w:val="0"/>
              <w:spacing w:line="360" w:lineRule="auto"/>
              <w:jc w:val="right"/>
              <w:rPr>
                <w:rFonts w:ascii="Arial" w:eastAsia="Times New Roman" w:hAnsi="Arial"/>
                <w:sz w:val="22"/>
                <w:szCs w:val="22"/>
              </w:rPr>
            </w:pPr>
            <w:r w:rsidRPr="00D63445">
              <w:rPr>
                <w:rFonts w:ascii="Arial" w:eastAsia="Times New Roman" w:hAnsi="Arial"/>
                <w:sz w:val="22"/>
                <w:szCs w:val="22"/>
              </w:rPr>
              <w:t>$  100.00</w:t>
            </w:r>
          </w:p>
        </w:tc>
      </w:tr>
      <w:tr w:rsidR="00D63445" w:rsidRPr="00D63445" w:rsidTr="004E2CF9">
        <w:trPr>
          <w:trHeight w:val="389"/>
        </w:trPr>
        <w:tc>
          <w:tcPr>
            <w:tcW w:w="6520" w:type="dxa"/>
          </w:tcPr>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Puestos de comida temporales con venta de cerveza</w:t>
            </w:r>
          </w:p>
        </w:tc>
        <w:tc>
          <w:tcPr>
            <w:tcW w:w="2029" w:type="dxa"/>
          </w:tcPr>
          <w:p w:rsidR="00D63445" w:rsidRPr="00D63445" w:rsidRDefault="00D63445" w:rsidP="00D63445">
            <w:pPr>
              <w:widowControl w:val="0"/>
              <w:autoSpaceDE w:val="0"/>
              <w:autoSpaceDN w:val="0"/>
              <w:adjustRightInd w:val="0"/>
              <w:spacing w:line="360" w:lineRule="auto"/>
              <w:jc w:val="center"/>
              <w:rPr>
                <w:rFonts w:ascii="Arial" w:eastAsia="Times New Roman" w:hAnsi="Arial"/>
                <w:sz w:val="22"/>
                <w:szCs w:val="22"/>
              </w:rPr>
            </w:pPr>
            <w:r w:rsidRPr="00D63445">
              <w:rPr>
                <w:rFonts w:ascii="Arial" w:eastAsia="Times New Roman" w:hAnsi="Arial"/>
                <w:sz w:val="22"/>
                <w:szCs w:val="22"/>
              </w:rPr>
              <w:t xml:space="preserve">          $  500.00</w:t>
            </w:r>
          </w:p>
        </w:tc>
      </w:tr>
      <w:tr w:rsidR="00D63445" w:rsidRPr="00D63445" w:rsidTr="004E2CF9">
        <w:trPr>
          <w:trHeight w:val="389"/>
        </w:trPr>
        <w:tc>
          <w:tcPr>
            <w:tcW w:w="6520" w:type="dxa"/>
          </w:tcPr>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Autorización de horarios extraordinario por hora diaria</w:t>
            </w:r>
          </w:p>
        </w:tc>
        <w:tc>
          <w:tcPr>
            <w:tcW w:w="2029" w:type="dxa"/>
          </w:tcPr>
          <w:p w:rsidR="00D63445" w:rsidRPr="00D63445" w:rsidRDefault="00D63445" w:rsidP="00D63445">
            <w:pPr>
              <w:widowControl w:val="0"/>
              <w:autoSpaceDE w:val="0"/>
              <w:autoSpaceDN w:val="0"/>
              <w:adjustRightInd w:val="0"/>
              <w:spacing w:line="360" w:lineRule="auto"/>
              <w:jc w:val="center"/>
              <w:rPr>
                <w:rFonts w:ascii="Arial" w:eastAsia="Times New Roman" w:hAnsi="Arial"/>
                <w:sz w:val="22"/>
                <w:szCs w:val="22"/>
              </w:rPr>
            </w:pPr>
            <w:r w:rsidRPr="00D63445">
              <w:rPr>
                <w:rFonts w:ascii="Arial" w:eastAsia="Times New Roman" w:hAnsi="Arial"/>
                <w:sz w:val="22"/>
                <w:szCs w:val="22"/>
              </w:rPr>
              <w:t xml:space="preserve">            $  100.00</w:t>
            </w:r>
          </w:p>
        </w:tc>
      </w:tr>
    </w:tbl>
    <w:p w:rsidR="00D63445" w:rsidRPr="00C41803" w:rsidRDefault="00D63445" w:rsidP="00D63445">
      <w:pPr>
        <w:widowControl w:val="0"/>
        <w:autoSpaceDE w:val="0"/>
        <w:autoSpaceDN w:val="0"/>
        <w:adjustRightInd w:val="0"/>
        <w:spacing w:line="360" w:lineRule="auto"/>
        <w:ind w:left="720"/>
        <w:contextualSpacing/>
        <w:jc w:val="both"/>
        <w:rPr>
          <w:rFonts w:ascii="Arial" w:eastAsia="Times New Roman" w:hAnsi="Arial"/>
          <w:b/>
          <w:bCs/>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20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Artículo 20.-…</w:t>
      </w:r>
    </w:p>
    <w:p w:rsidR="00D63445" w:rsidRPr="00D63445" w:rsidRDefault="00D63445" w:rsidP="00D63445">
      <w:pPr>
        <w:widowControl w:val="0"/>
        <w:autoSpaceDE w:val="0"/>
        <w:autoSpaceDN w:val="0"/>
        <w:adjustRightInd w:val="0"/>
        <w:spacing w:line="360" w:lineRule="auto"/>
        <w:ind w:firstLine="118"/>
        <w:jc w:val="both"/>
        <w:rPr>
          <w:rFonts w:ascii="Arial" w:eastAsia="Times New Roman" w:hAnsi="Arial"/>
          <w:b/>
          <w:sz w:val="22"/>
          <w:szCs w:val="22"/>
        </w:rPr>
      </w:pPr>
      <w:r w:rsidRPr="00D63445">
        <w:rPr>
          <w:rFonts w:ascii="Arial" w:eastAsia="Times New Roman" w:hAnsi="Arial"/>
          <w:b/>
          <w:sz w:val="22"/>
          <w:szCs w:val="22"/>
        </w:rPr>
        <w:t>…</w:t>
      </w:r>
    </w:p>
    <w:p w:rsid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Para la expedición de dichas licencias de apertura los interesados deberán presentar ante la Tesorería municipal, su solicitud de acuerdo a los requisitos establecidos en el artículo 41 de la Ley de Hacienda del Municipio de Celestún, Yucatán.</w:t>
      </w:r>
    </w:p>
    <w:p w:rsidR="00C41803" w:rsidRPr="00D63445" w:rsidRDefault="00C41803"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21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r w:rsidRPr="00D63445">
        <w:rPr>
          <w:rFonts w:ascii="Arial" w:eastAsia="Times New Roman" w:hAnsi="Arial"/>
          <w:b/>
          <w:bCs/>
          <w:sz w:val="22"/>
          <w:szCs w:val="22"/>
        </w:rPr>
        <w:t xml:space="preserve">    Artículo 21.-… </w:t>
      </w:r>
    </w:p>
    <w:p w:rsid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r w:rsidRPr="00D63445">
        <w:rPr>
          <w:rFonts w:ascii="Arial" w:eastAsia="Times New Roman" w:hAnsi="Arial"/>
          <w:b/>
          <w:bCs/>
          <w:sz w:val="22"/>
          <w:szCs w:val="22"/>
        </w:rPr>
        <w:t>…</w:t>
      </w:r>
    </w:p>
    <w:p w:rsidR="00C41803" w:rsidRPr="00D63445" w:rsidRDefault="00C41803" w:rsidP="00D63445">
      <w:pPr>
        <w:widowControl w:val="0"/>
        <w:autoSpaceDE w:val="0"/>
        <w:autoSpaceDN w:val="0"/>
        <w:adjustRightInd w:val="0"/>
        <w:spacing w:line="360" w:lineRule="auto"/>
        <w:jc w:val="both"/>
        <w:rPr>
          <w:rFonts w:ascii="Arial" w:eastAsia="Times New Roman" w:hAnsi="Arial"/>
          <w:b/>
          <w:bCs/>
          <w:sz w:val="22"/>
          <w:szCs w:val="22"/>
        </w:rPr>
      </w:pPr>
    </w:p>
    <w:tbl>
      <w:tblPr>
        <w:tblStyle w:val="Tablaconcuadrcula1"/>
        <w:tblW w:w="0" w:type="auto"/>
        <w:jc w:val="center"/>
        <w:tblLook w:val="04A0" w:firstRow="1" w:lastRow="0" w:firstColumn="1" w:lastColumn="0" w:noHBand="0" w:noVBand="1"/>
      </w:tblPr>
      <w:tblGrid>
        <w:gridCol w:w="3001"/>
        <w:gridCol w:w="4575"/>
      </w:tblGrid>
      <w:tr w:rsidR="00D63445" w:rsidRPr="00D63445" w:rsidTr="00C41803">
        <w:trPr>
          <w:trHeight w:val="418"/>
          <w:jc w:val="center"/>
        </w:trPr>
        <w:tc>
          <w:tcPr>
            <w:tcW w:w="3001" w:type="dxa"/>
          </w:tcPr>
          <w:p w:rsidR="00D63445" w:rsidRPr="00D63445" w:rsidRDefault="00C41803" w:rsidP="00D63445">
            <w:pPr>
              <w:widowControl w:val="0"/>
              <w:autoSpaceDE w:val="0"/>
              <w:autoSpaceDN w:val="0"/>
              <w:adjustRightInd w:val="0"/>
              <w:spacing w:line="360" w:lineRule="auto"/>
              <w:jc w:val="both"/>
              <w:rPr>
                <w:rFonts w:ascii="Arial" w:eastAsia="Times New Roman" w:hAnsi="Arial"/>
                <w:bCs/>
                <w:sz w:val="22"/>
                <w:szCs w:val="22"/>
              </w:rPr>
            </w:pPr>
            <w:r>
              <w:rPr>
                <w:rFonts w:ascii="Arial" w:eastAsia="Times New Roman" w:hAnsi="Arial"/>
                <w:bCs/>
                <w:sz w:val="22"/>
                <w:szCs w:val="22"/>
              </w:rPr>
              <w:t xml:space="preserve">       </w:t>
            </w:r>
            <w:r w:rsidR="00D63445" w:rsidRPr="00D63445">
              <w:rPr>
                <w:rFonts w:ascii="Arial" w:eastAsia="Times New Roman" w:hAnsi="Arial"/>
                <w:bCs/>
                <w:sz w:val="22"/>
                <w:szCs w:val="22"/>
              </w:rPr>
              <w:t>Restaurant-Bar</w:t>
            </w:r>
          </w:p>
        </w:tc>
        <w:tc>
          <w:tcPr>
            <w:tcW w:w="4575" w:type="dxa"/>
          </w:tcPr>
          <w:p w:rsidR="00D63445" w:rsidRPr="00D63445" w:rsidRDefault="00D63445" w:rsidP="00D63445">
            <w:pPr>
              <w:widowControl w:val="0"/>
              <w:autoSpaceDE w:val="0"/>
              <w:autoSpaceDN w:val="0"/>
              <w:adjustRightInd w:val="0"/>
              <w:spacing w:line="360" w:lineRule="auto"/>
              <w:jc w:val="both"/>
              <w:rPr>
                <w:rFonts w:ascii="Arial" w:eastAsia="Times New Roman" w:hAnsi="Arial"/>
                <w:bCs/>
                <w:sz w:val="22"/>
                <w:szCs w:val="22"/>
              </w:rPr>
            </w:pPr>
            <w:r w:rsidRPr="00D63445">
              <w:rPr>
                <w:rFonts w:ascii="Arial" w:eastAsia="Times New Roman" w:hAnsi="Arial"/>
                <w:bCs/>
                <w:sz w:val="22"/>
                <w:szCs w:val="22"/>
              </w:rPr>
              <w:t xml:space="preserve">                                               $ 5,000.00</w:t>
            </w:r>
          </w:p>
        </w:tc>
      </w:tr>
    </w:tbl>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b/>
          <w:sz w:val="22"/>
          <w:szCs w:val="22"/>
        </w:rPr>
      </w:pPr>
      <w:r w:rsidRPr="00D63445">
        <w:rPr>
          <w:rFonts w:ascii="Arial" w:eastAsia="Times New Roman" w:hAnsi="Arial"/>
          <w:b/>
          <w:bCs/>
          <w:sz w:val="22"/>
          <w:szCs w:val="22"/>
        </w:rPr>
        <w:t>…</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Para la expedición de la renovación de las licencias de funcionamiento los interesados deberán presentar ante la Tesorería municipal, su solicitud de acuerdo a los requisitos establecidos en el artículo 41 de la Ley de Hacienda del Municipio de Celestún, Yucatán.</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ADICIONA  EL ARTICULO 22 A)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 xml:space="preserve">Artículo 22 A.- </w:t>
      </w:r>
      <w:r w:rsidRPr="00D63445">
        <w:rPr>
          <w:rFonts w:ascii="Arial" w:eastAsia="Times New Roman" w:hAnsi="Arial"/>
          <w:sz w:val="22"/>
          <w:szCs w:val="22"/>
        </w:rPr>
        <w:t>Por el permiso para el cierre de calles por fiestas o cualquier evento o espectáculo en la vía pública, se pagará la cantidad de $200.00 por día.</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ADICIONA  EL ARTICULO 22 B)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bCs/>
          <w:sz w:val="22"/>
          <w:szCs w:val="22"/>
        </w:rPr>
        <w:t xml:space="preserve">Artículo 22 B.- </w:t>
      </w:r>
      <w:r w:rsidRPr="00D63445">
        <w:rPr>
          <w:rFonts w:ascii="Arial" w:eastAsia="Times New Roman" w:hAnsi="Arial"/>
          <w:sz w:val="22"/>
          <w:szCs w:val="22"/>
        </w:rPr>
        <w:t>El cobro de derechos por el otorgamiento de licencias, permisos o autorizaciones para el funcionamiento de establecimientos, locales comerciales o de servicios, se realizará con base en las siguientes tarifas anuales:</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1690"/>
        <w:gridCol w:w="1708"/>
      </w:tblGrid>
      <w:tr w:rsidR="00D63445" w:rsidRPr="00D63445" w:rsidTr="004E2CF9">
        <w:trPr>
          <w:trHeight w:val="635"/>
        </w:trPr>
        <w:tc>
          <w:tcPr>
            <w:tcW w:w="4961" w:type="dxa"/>
          </w:tcPr>
          <w:p w:rsidR="00D63445" w:rsidRPr="00D63445" w:rsidRDefault="00D63445" w:rsidP="00D63445">
            <w:pPr>
              <w:spacing w:line="240" w:lineRule="auto"/>
              <w:jc w:val="center"/>
              <w:rPr>
                <w:rFonts w:ascii="Arial" w:eastAsia="Times New Roman" w:hAnsi="Arial"/>
                <w:b/>
                <w:sz w:val="22"/>
                <w:szCs w:val="22"/>
              </w:rPr>
            </w:pPr>
            <w:r w:rsidRPr="00D63445">
              <w:rPr>
                <w:rFonts w:ascii="Arial" w:eastAsia="Times New Roman" w:hAnsi="Arial"/>
                <w:b/>
                <w:sz w:val="22"/>
                <w:szCs w:val="22"/>
              </w:rPr>
              <w:t>GIRO</w:t>
            </w:r>
          </w:p>
          <w:p w:rsidR="00D63445" w:rsidRPr="00D63445" w:rsidRDefault="00D63445" w:rsidP="00D63445">
            <w:pPr>
              <w:spacing w:line="240" w:lineRule="auto"/>
              <w:jc w:val="center"/>
              <w:rPr>
                <w:rFonts w:ascii="Arial" w:eastAsia="Times New Roman" w:hAnsi="Arial"/>
                <w:b/>
                <w:sz w:val="22"/>
                <w:szCs w:val="22"/>
              </w:rPr>
            </w:pPr>
            <w:r w:rsidRPr="00D63445">
              <w:rPr>
                <w:rFonts w:ascii="Arial" w:eastAsia="Times New Roman" w:hAnsi="Arial"/>
                <w:b/>
                <w:sz w:val="22"/>
                <w:szCs w:val="22"/>
              </w:rPr>
              <w:t>Comercial o de Servicios</w:t>
            </w:r>
          </w:p>
        </w:tc>
        <w:tc>
          <w:tcPr>
            <w:tcW w:w="1701" w:type="dxa"/>
          </w:tcPr>
          <w:p w:rsidR="00D63445" w:rsidRPr="00D63445" w:rsidRDefault="00D63445" w:rsidP="00D63445">
            <w:pPr>
              <w:spacing w:line="240" w:lineRule="auto"/>
              <w:rPr>
                <w:rFonts w:ascii="Arial" w:eastAsia="Times New Roman" w:hAnsi="Arial"/>
                <w:b/>
                <w:sz w:val="22"/>
                <w:szCs w:val="22"/>
              </w:rPr>
            </w:pPr>
            <w:r w:rsidRPr="00D63445">
              <w:rPr>
                <w:rFonts w:ascii="Arial" w:eastAsia="Times New Roman" w:hAnsi="Arial"/>
                <w:b/>
                <w:sz w:val="22"/>
                <w:szCs w:val="22"/>
              </w:rPr>
              <w:t xml:space="preserve">EXPEDICION    </w:t>
            </w:r>
          </w:p>
          <w:p w:rsidR="00D63445" w:rsidRPr="00D63445" w:rsidRDefault="00D63445" w:rsidP="00D63445">
            <w:pPr>
              <w:spacing w:line="240" w:lineRule="auto"/>
              <w:rPr>
                <w:rFonts w:ascii="Arial" w:eastAsia="Times New Roman" w:hAnsi="Arial"/>
                <w:b/>
                <w:sz w:val="22"/>
                <w:szCs w:val="22"/>
              </w:rPr>
            </w:pPr>
            <w:r w:rsidRPr="00D63445">
              <w:rPr>
                <w:rFonts w:ascii="Arial" w:eastAsia="Times New Roman" w:hAnsi="Arial"/>
                <w:b/>
                <w:sz w:val="22"/>
                <w:szCs w:val="22"/>
              </w:rPr>
              <w:t xml:space="preserve">              $</w:t>
            </w:r>
          </w:p>
        </w:tc>
        <w:tc>
          <w:tcPr>
            <w:tcW w:w="1701" w:type="dxa"/>
          </w:tcPr>
          <w:p w:rsidR="00D63445" w:rsidRPr="00D63445" w:rsidRDefault="00D63445" w:rsidP="00D63445">
            <w:pPr>
              <w:spacing w:line="240" w:lineRule="auto"/>
              <w:jc w:val="center"/>
              <w:rPr>
                <w:rFonts w:ascii="Arial" w:eastAsia="Times New Roman" w:hAnsi="Arial"/>
                <w:b/>
                <w:sz w:val="22"/>
                <w:szCs w:val="22"/>
              </w:rPr>
            </w:pPr>
            <w:r w:rsidRPr="00D63445">
              <w:rPr>
                <w:rFonts w:ascii="Arial" w:eastAsia="Times New Roman" w:hAnsi="Arial"/>
                <w:b/>
                <w:sz w:val="22"/>
                <w:szCs w:val="22"/>
              </w:rPr>
              <w:t>RENOVACION</w:t>
            </w:r>
          </w:p>
          <w:p w:rsidR="00D63445" w:rsidRPr="00D63445" w:rsidRDefault="00D63445" w:rsidP="00D63445">
            <w:pPr>
              <w:spacing w:line="240" w:lineRule="auto"/>
              <w:jc w:val="center"/>
              <w:rPr>
                <w:rFonts w:ascii="Arial" w:eastAsia="Times New Roman" w:hAnsi="Arial"/>
                <w:b/>
                <w:sz w:val="22"/>
                <w:szCs w:val="22"/>
              </w:rPr>
            </w:pPr>
            <w:r w:rsidRPr="00D63445">
              <w:rPr>
                <w:rFonts w:ascii="Arial" w:eastAsia="Times New Roman" w:hAnsi="Arial"/>
                <w:b/>
                <w:sz w:val="22"/>
                <w:szCs w:val="22"/>
              </w:rPr>
              <w:t>$</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Fábrica de paletas y jugos embolsados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b/>
                <w:sz w:val="22"/>
                <w:szCs w:val="22"/>
              </w:rPr>
            </w:pPr>
            <w:r w:rsidRPr="00D63445">
              <w:rPr>
                <w:rFonts w:ascii="Arial" w:eastAsia="Times New Roman" w:hAnsi="Arial"/>
                <w:sz w:val="22"/>
                <w:szCs w:val="22"/>
              </w:rPr>
              <w:t>Carnicerías, pollerías y pescaderías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1,200.00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b/>
                <w:sz w:val="22"/>
                <w:szCs w:val="22"/>
              </w:rPr>
            </w:pPr>
            <w:r w:rsidRPr="00D63445">
              <w:rPr>
                <w:rFonts w:ascii="Arial" w:eastAsia="Times New Roman" w:hAnsi="Arial"/>
                <w:sz w:val="22"/>
                <w:szCs w:val="22"/>
              </w:rPr>
              <w:t xml:space="preserve">Panaderías </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b/>
                <w:sz w:val="22"/>
                <w:szCs w:val="22"/>
              </w:rPr>
            </w:pPr>
            <w:r w:rsidRPr="00D63445">
              <w:rPr>
                <w:rFonts w:ascii="Arial" w:eastAsia="Times New Roman" w:hAnsi="Arial"/>
                <w:sz w:val="22"/>
                <w:szCs w:val="22"/>
              </w:rPr>
              <w:t>Expendio de refrescos al mayoreo</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900.00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Farmacias, boticas y similares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b/>
                <w:sz w:val="22"/>
                <w:szCs w:val="22"/>
              </w:rPr>
            </w:pPr>
            <w:r w:rsidRPr="00D63445">
              <w:rPr>
                <w:rFonts w:ascii="Arial" w:eastAsia="Times New Roman" w:hAnsi="Arial"/>
                <w:sz w:val="22"/>
                <w:szCs w:val="22"/>
              </w:rPr>
              <w:t>Expendio de refrescos naturales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b/>
                <w:sz w:val="22"/>
                <w:szCs w:val="22"/>
              </w:rPr>
            </w:pPr>
            <w:r w:rsidRPr="00D63445">
              <w:rPr>
                <w:rFonts w:ascii="Arial" w:eastAsia="Times New Roman" w:hAnsi="Arial"/>
                <w:sz w:val="22"/>
                <w:szCs w:val="22"/>
              </w:rPr>
              <w:t>Compra/venta de oro y plata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b/>
                <w:sz w:val="22"/>
                <w:szCs w:val="22"/>
              </w:rPr>
            </w:pPr>
            <w:r w:rsidRPr="00D63445">
              <w:rPr>
                <w:rFonts w:ascii="Arial" w:eastAsia="Times New Roman" w:hAnsi="Arial"/>
                <w:sz w:val="22"/>
                <w:szCs w:val="22"/>
              </w:rPr>
              <w:t>Taquerías, loncherías y fondas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900.00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700.00</w:t>
            </w:r>
          </w:p>
        </w:tc>
      </w:tr>
      <w:tr w:rsidR="00D63445" w:rsidRPr="00D63445" w:rsidTr="004E2CF9">
        <w:trPr>
          <w:trHeight w:val="442"/>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Bancos y oficinas de cobros, cajeros automáticos, cajas de ahorro, financieras y prestamos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4,500.00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2,500.00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Tortillerías y molinos de nixtamal500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900.00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700.00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Tlapalerías y ferreterías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1,200.00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Compra/venta de materiales de construcción</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Tiendas, fruterías, tendejones y misceláneas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Bisutería y otros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Compra/venta de motos y refacciones para motos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Taller de reparación de llantas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Papelerías y centros de copiados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Hoteles, moteles y hospedajes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2,500.00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Casas de empeño</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Terminales de autobuses y transporte de pasajeros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Ciber café y centros de computo</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Estéticas unisex, peluquerías y salones de belleza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250.00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Talleres mecánicos, hojalatería y pintura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Talleres de torno y herrería en general</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Negocios de telefonía celular</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Tienda de ropa y almacenes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Florerías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Funerarias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Puestos de revistas y periódicos fijos y semifijos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Videoclubes en general</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Peleterías, venta de material de calzado</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Carpinterías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Consultorios, clínicas, laboratorios de análisis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Clínicas veterinarias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Dulcerías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Negocios de vidrios y aluminios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Bodegas de cerveza, oficinas de las mismas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Talleres de reparaciones eléctricas y electrónicas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Escuelas particulares y academias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Salas de fiestas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1,200.00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Expendios de alimentos balanceados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Gaseras LP</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Gasolineras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Granjas avícolas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Pizzerías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Sistemas de cablevisión, oficinas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Ópticas y relojerías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Fábricas de hielo y agua purificada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Estudios fotográficos y filmaciones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Mueblerías, electrodomésticas y línea blanca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Maquiladoras industriales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 xml:space="preserve">Supermercado de abarrotes </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Minisúper de abarrotes y tiendas de conveniencia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Lavandería de ropa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Zapaterías, fábricas de calzado</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Procesadora de Pescados y Mariscos o similares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Despachos jurídicos, contables, fiscales y asesoría</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Voceo móvil o fijo, sistema de</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Talleres de costura, reparación</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200.00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Guarderías, estancias infantiles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500.00</w:t>
            </w:r>
          </w:p>
        </w:tc>
      </w:tr>
      <w:tr w:rsidR="00D63445" w:rsidRPr="00D63445" w:rsidTr="004E2CF9">
        <w:trPr>
          <w:trHeight w:val="54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Antenas de telefonía celular o convencional, y torres para comercializar internet vía WiFi</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6,000.00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3,000.00</w:t>
            </w:r>
          </w:p>
        </w:tc>
      </w:tr>
      <w:tr w:rsidR="00D63445" w:rsidRPr="00D63445" w:rsidTr="004E2CF9">
        <w:trPr>
          <w:trHeight w:val="305"/>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Salchichería, distribuidora de quesos, productos lácteos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400.00</w:t>
            </w:r>
          </w:p>
        </w:tc>
      </w:tr>
      <w:tr w:rsidR="00D63445" w:rsidRPr="00D63445" w:rsidTr="004E2CF9">
        <w:trPr>
          <w:trHeight w:val="328"/>
        </w:trPr>
        <w:tc>
          <w:tcPr>
            <w:tcW w:w="4961" w:type="dxa"/>
          </w:tcPr>
          <w:p w:rsidR="00D63445" w:rsidRPr="00D63445" w:rsidRDefault="00D63445" w:rsidP="00D63445">
            <w:pPr>
              <w:spacing w:line="240" w:lineRule="auto"/>
              <w:jc w:val="both"/>
              <w:rPr>
                <w:rFonts w:ascii="Arial" w:eastAsia="Times New Roman" w:hAnsi="Arial"/>
                <w:sz w:val="22"/>
                <w:szCs w:val="22"/>
              </w:rPr>
            </w:pPr>
            <w:r w:rsidRPr="00D63445">
              <w:rPr>
                <w:rFonts w:ascii="Arial" w:eastAsia="Times New Roman" w:hAnsi="Arial"/>
                <w:sz w:val="22"/>
                <w:szCs w:val="22"/>
              </w:rPr>
              <w:t>Estacionamiento públicos y privados</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1,500.00</w:t>
            </w:r>
          </w:p>
        </w:tc>
        <w:tc>
          <w:tcPr>
            <w:tcW w:w="1701" w:type="dxa"/>
          </w:tcPr>
          <w:p w:rsidR="00D63445" w:rsidRPr="00D63445" w:rsidRDefault="00D63445" w:rsidP="00D63445">
            <w:pPr>
              <w:spacing w:line="240" w:lineRule="auto"/>
              <w:jc w:val="right"/>
              <w:rPr>
                <w:rFonts w:ascii="Arial" w:eastAsia="Times New Roman" w:hAnsi="Arial"/>
                <w:sz w:val="22"/>
                <w:szCs w:val="22"/>
              </w:rPr>
            </w:pPr>
            <w:r w:rsidRPr="00D63445">
              <w:rPr>
                <w:rFonts w:ascii="Arial" w:eastAsia="Times New Roman" w:hAnsi="Arial"/>
                <w:sz w:val="22"/>
                <w:szCs w:val="22"/>
              </w:rPr>
              <w:t>800.00</w:t>
            </w:r>
          </w:p>
        </w:tc>
      </w:tr>
    </w:tbl>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sz w:val="22"/>
          <w:szCs w:val="22"/>
        </w:rPr>
        <w:t>Para la expedición o renovación de las licencias de funcionamiento los interesados deberán presentar ante la Tesorería municipal, su solicitud de acuerdo a los requisitos establecidos en el artículo 41 de la Ley de Hacienda del Municipio de Celestún, Yucatán.</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p>
    <w:p w:rsidR="00D63445" w:rsidRPr="00D63445" w:rsidRDefault="00D63445" w:rsidP="00D63445">
      <w:pPr>
        <w:spacing w:line="276" w:lineRule="auto"/>
        <w:jc w:val="both"/>
        <w:rPr>
          <w:rFonts w:ascii="Arial" w:eastAsia="Times New Roman" w:hAnsi="Arial"/>
          <w:sz w:val="22"/>
          <w:szCs w:val="22"/>
        </w:rPr>
      </w:pPr>
      <w:r w:rsidRPr="00D63445">
        <w:rPr>
          <w:rFonts w:ascii="Arial" w:eastAsia="Times New Roman" w:hAnsi="Arial"/>
          <w:sz w:val="22"/>
          <w:szCs w:val="22"/>
        </w:rPr>
        <w:t>Cuando la licencia de funcionamiento cambie de dueño, giro o se amplié, se pagará una nueva licencia.</w:t>
      </w:r>
    </w:p>
    <w:p w:rsidR="00D63445" w:rsidRPr="00D63445" w:rsidRDefault="00D63445" w:rsidP="00D63445">
      <w:pPr>
        <w:spacing w:line="276" w:lineRule="auto"/>
        <w:jc w:val="both"/>
        <w:outlineLvl w:val="0"/>
        <w:rPr>
          <w:rFonts w:ascii="Arial" w:hAnsi="Arial"/>
          <w:bCs/>
          <w:sz w:val="22"/>
          <w:szCs w:val="22"/>
        </w:rPr>
      </w:pPr>
    </w:p>
    <w:p w:rsidR="00D63445" w:rsidRPr="00D63445" w:rsidRDefault="00D63445" w:rsidP="00D63445">
      <w:pPr>
        <w:spacing w:line="276" w:lineRule="auto"/>
        <w:jc w:val="both"/>
        <w:outlineLvl w:val="0"/>
        <w:rPr>
          <w:rFonts w:ascii="Arial" w:eastAsia="Arial" w:hAnsi="Arial"/>
          <w:sz w:val="22"/>
          <w:szCs w:val="22"/>
        </w:rPr>
      </w:pPr>
      <w:r w:rsidRPr="00D63445">
        <w:rPr>
          <w:rFonts w:ascii="Arial" w:hAnsi="Arial"/>
          <w:bCs/>
          <w:sz w:val="22"/>
          <w:szCs w:val="22"/>
        </w:rPr>
        <w:t xml:space="preserve">Cuando por su denominación algún establecimiento no se encuentre comprendido en </w:t>
      </w:r>
      <w:r w:rsidRPr="00D63445">
        <w:rPr>
          <w:rFonts w:ascii="Arial" w:eastAsia="Arial" w:hAnsi="Arial"/>
          <w:sz w:val="22"/>
          <w:szCs w:val="22"/>
        </w:rPr>
        <w:t>cuadro de categorización de</w:t>
      </w:r>
      <w:r w:rsidRPr="00D63445">
        <w:rPr>
          <w:rFonts w:ascii="Arial" w:eastAsia="Arial" w:hAnsi="Arial"/>
          <w:b/>
          <w:sz w:val="22"/>
          <w:szCs w:val="22"/>
        </w:rPr>
        <w:t xml:space="preserve"> </w:t>
      </w:r>
      <w:r w:rsidRPr="00D63445">
        <w:rPr>
          <w:rFonts w:ascii="Arial" w:eastAsia="Arial" w:hAnsi="Arial"/>
          <w:sz w:val="22"/>
          <w:szCs w:val="22"/>
        </w:rPr>
        <w:t>los giros comerciales</w:t>
      </w:r>
      <w:r w:rsidRPr="00D63445">
        <w:rPr>
          <w:rFonts w:ascii="Arial" w:hAnsi="Arial"/>
          <w:bCs/>
          <w:sz w:val="22"/>
          <w:szCs w:val="22"/>
        </w:rPr>
        <w:t>, se ubicará en aquél que por sus características le sea más semejante</w:t>
      </w:r>
    </w:p>
    <w:p w:rsidR="00D63445" w:rsidRPr="00D63445" w:rsidRDefault="00D63445" w:rsidP="00D63445">
      <w:pPr>
        <w:spacing w:line="360" w:lineRule="auto"/>
        <w:jc w:val="both"/>
        <w:rPr>
          <w:rFonts w:ascii="Arial" w:eastAsia="Times New Roman" w:hAnsi="Arial"/>
          <w:sz w:val="22"/>
          <w:szCs w:val="22"/>
        </w:rPr>
      </w:pPr>
    </w:p>
    <w:p w:rsidR="00D63445" w:rsidRPr="00D63445" w:rsidRDefault="00D63445" w:rsidP="00D63445">
      <w:pPr>
        <w:spacing w:line="276" w:lineRule="auto"/>
        <w:jc w:val="both"/>
        <w:rPr>
          <w:rFonts w:ascii="Arial" w:eastAsia="Times New Roman" w:hAnsi="Arial"/>
          <w:sz w:val="22"/>
          <w:szCs w:val="22"/>
        </w:rPr>
      </w:pPr>
      <w:r w:rsidRPr="00D63445">
        <w:rPr>
          <w:rFonts w:ascii="Arial" w:eastAsia="Times New Roman" w:hAnsi="Arial"/>
          <w:sz w:val="22"/>
          <w:szCs w:val="22"/>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D63445" w:rsidRPr="00D63445" w:rsidRDefault="00D63445" w:rsidP="00D63445">
      <w:pPr>
        <w:widowControl w:val="0"/>
        <w:autoSpaceDE w:val="0"/>
        <w:autoSpaceDN w:val="0"/>
        <w:adjustRightInd w:val="0"/>
        <w:spacing w:line="276" w:lineRule="auto"/>
        <w:jc w:val="both"/>
        <w:rPr>
          <w:rFonts w:ascii="Arial" w:eastAsia="Times New Roman" w:hAnsi="Arial"/>
          <w:b/>
          <w:bCs/>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ADICIONA  EL ARTICULO 25 A)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p>
    <w:p w:rsidR="00D63445" w:rsidRPr="00D63445" w:rsidRDefault="00D63445" w:rsidP="00D63445">
      <w:pPr>
        <w:tabs>
          <w:tab w:val="left" w:pos="660"/>
        </w:tabs>
        <w:spacing w:line="240" w:lineRule="auto"/>
        <w:jc w:val="both"/>
        <w:rPr>
          <w:rFonts w:ascii="Arial" w:eastAsia="Arial" w:hAnsi="Arial"/>
          <w:b/>
          <w:sz w:val="22"/>
          <w:szCs w:val="22"/>
        </w:rPr>
      </w:pPr>
      <w:r w:rsidRPr="00D63445">
        <w:rPr>
          <w:rFonts w:ascii="Arial" w:eastAsia="Times New Roman" w:hAnsi="Arial"/>
          <w:b/>
          <w:bCs/>
          <w:sz w:val="22"/>
          <w:szCs w:val="22"/>
        </w:rPr>
        <w:t xml:space="preserve">Artículo 25 A.- </w:t>
      </w:r>
      <w:r w:rsidRPr="00D63445">
        <w:rPr>
          <w:rFonts w:ascii="Arial" w:eastAsia="Arial" w:hAnsi="Arial"/>
          <w:sz w:val="22"/>
          <w:szCs w:val="22"/>
        </w:rPr>
        <w:t>Los sujetos pagarán los derechos por los servicios que soliciten a la</w:t>
      </w:r>
      <w:r w:rsidRPr="00D63445">
        <w:rPr>
          <w:rFonts w:ascii="Arial" w:eastAsia="Arial" w:hAnsi="Arial"/>
          <w:b/>
          <w:sz w:val="22"/>
          <w:szCs w:val="22"/>
        </w:rPr>
        <w:t xml:space="preserve"> </w:t>
      </w:r>
      <w:r w:rsidRPr="00D63445">
        <w:rPr>
          <w:rFonts w:ascii="Arial" w:eastAsia="Arial" w:hAnsi="Arial"/>
          <w:sz w:val="22"/>
          <w:szCs w:val="22"/>
        </w:rPr>
        <w:t>Dirección de Desarrollo Urbano o Dependencia municipal correspondiente, consistentes en:</w:t>
      </w:r>
    </w:p>
    <w:p w:rsidR="00D63445" w:rsidRPr="00D63445" w:rsidRDefault="00D63445" w:rsidP="00D63445">
      <w:pPr>
        <w:spacing w:line="240" w:lineRule="auto"/>
        <w:jc w:val="both"/>
        <w:rPr>
          <w:rFonts w:ascii="Times New Roman" w:eastAsia="Times New Roman" w:hAnsi="Times New Roman"/>
          <w:sz w:val="22"/>
          <w:szCs w:val="22"/>
        </w:rPr>
      </w:pP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Licencias de uso de suelo;</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Constancias de Alineamiento;</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Licencias de construcción;</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Licencias de demolición o desmantelamiento;</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Licencias para excavaciones;</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Licencias para construcción de bardas;</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Constancias de terminación de obra;</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Validación de planos;</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Certificados de seguridad para el uso de explosivos;</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Licencias para hacer cortes en banquetas, pavimento y guarniciones;</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Otorgamiento de constancias a que se refiere la Ley Sobre el Régimen de Propiedad y Condominio Inmobiliario del Estado de Yucatán;</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Licencias para obras de urbanización;</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Constancias de unión y división de inmuebles;</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Permisos de anuncios;</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Visitas de inspección;</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Expedición de oficios de Anuencia de Electrificación;</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Emisión de copias simples y/o copias certificadas de cualquier documentación contenida en los expedientes de la Dirección de Desarrollo Urbano o Dependencia municipal correspondiente.</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 xml:space="preserve">Constancia de autorización de ocupación. </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Constancia de terminación de obra.</w:t>
      </w:r>
    </w:p>
    <w:p w:rsidR="00D63445" w:rsidRPr="00D63445" w:rsidRDefault="00D63445" w:rsidP="00D63445">
      <w:pPr>
        <w:numPr>
          <w:ilvl w:val="0"/>
          <w:numId w:val="33"/>
        </w:numPr>
        <w:spacing w:line="240" w:lineRule="auto"/>
        <w:contextualSpacing/>
        <w:jc w:val="both"/>
        <w:rPr>
          <w:rFonts w:ascii="Arial" w:eastAsiaTheme="minorHAnsi" w:hAnsi="Arial"/>
          <w:sz w:val="22"/>
          <w:szCs w:val="22"/>
          <w:lang w:eastAsia="en-US"/>
        </w:rPr>
      </w:pPr>
      <w:r w:rsidRPr="00D63445">
        <w:rPr>
          <w:rFonts w:ascii="Arial" w:eastAsiaTheme="minorHAnsi" w:hAnsi="Arial"/>
          <w:sz w:val="22"/>
          <w:szCs w:val="22"/>
          <w:lang w:eastAsia="en-US"/>
        </w:rPr>
        <w:t>Expedición de duplicado de recibo oficial.</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ADICIONA  EL ARTICULO 25 B)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tabs>
          <w:tab w:val="left" w:pos="504"/>
        </w:tabs>
        <w:spacing w:line="240" w:lineRule="auto"/>
        <w:jc w:val="both"/>
        <w:rPr>
          <w:rFonts w:ascii="Arial" w:eastAsia="Arial" w:hAnsi="Arial"/>
          <w:sz w:val="22"/>
          <w:szCs w:val="22"/>
        </w:rPr>
      </w:pPr>
      <w:r w:rsidRPr="00D63445">
        <w:rPr>
          <w:rFonts w:ascii="Arial" w:eastAsia="Arial" w:hAnsi="Arial"/>
          <w:b/>
          <w:sz w:val="22"/>
          <w:szCs w:val="22"/>
        </w:rPr>
        <w:t xml:space="preserve">Artículo 25 B.- </w:t>
      </w:r>
      <w:r w:rsidRPr="00D63445">
        <w:rPr>
          <w:rFonts w:ascii="Arial" w:eastAsia="Arial" w:hAnsi="Arial"/>
          <w:sz w:val="22"/>
          <w:szCs w:val="22"/>
        </w:rPr>
        <w:t>Las bases para el cobro de los derechos mencionados en el Artículo</w:t>
      </w:r>
      <w:r w:rsidRPr="00D63445">
        <w:rPr>
          <w:rFonts w:ascii="Arial" w:eastAsia="Arial" w:hAnsi="Arial"/>
          <w:b/>
          <w:sz w:val="22"/>
          <w:szCs w:val="22"/>
        </w:rPr>
        <w:t xml:space="preserve"> </w:t>
      </w:r>
      <w:r w:rsidRPr="00D63445">
        <w:rPr>
          <w:rFonts w:ascii="Arial" w:eastAsia="Arial" w:hAnsi="Arial"/>
          <w:sz w:val="22"/>
          <w:szCs w:val="22"/>
        </w:rPr>
        <w:t>que antecede, serán de acuerdo a lo siguiente:</w:t>
      </w:r>
    </w:p>
    <w:p w:rsidR="00D63445" w:rsidRPr="00D63445" w:rsidRDefault="00D63445" w:rsidP="00D63445">
      <w:pPr>
        <w:tabs>
          <w:tab w:val="left" w:pos="504"/>
        </w:tabs>
        <w:spacing w:line="240" w:lineRule="auto"/>
        <w:jc w:val="both"/>
        <w:rPr>
          <w:rFonts w:ascii="Arial" w:eastAsia="Arial" w:hAnsi="Arial"/>
          <w:b/>
          <w:sz w:val="22"/>
          <w:szCs w:val="22"/>
        </w:rPr>
      </w:pPr>
    </w:p>
    <w:p w:rsidR="00D63445" w:rsidRPr="00D63445" w:rsidRDefault="00D63445" w:rsidP="00D63445">
      <w:pPr>
        <w:numPr>
          <w:ilvl w:val="0"/>
          <w:numId w:val="8"/>
        </w:numPr>
        <w:tabs>
          <w:tab w:val="left" w:pos="384"/>
        </w:tabs>
        <w:spacing w:line="240" w:lineRule="auto"/>
        <w:jc w:val="both"/>
        <w:rPr>
          <w:rFonts w:ascii="Arial" w:eastAsia="Arial" w:hAnsi="Arial"/>
          <w:b/>
          <w:sz w:val="22"/>
          <w:szCs w:val="22"/>
        </w:rPr>
      </w:pPr>
      <w:r w:rsidRPr="00D63445">
        <w:rPr>
          <w:rFonts w:ascii="Arial" w:eastAsia="Arial" w:hAnsi="Arial"/>
          <w:sz w:val="22"/>
          <w:szCs w:val="22"/>
        </w:rPr>
        <w:t>El número de metros lineales.</w:t>
      </w:r>
    </w:p>
    <w:p w:rsidR="00D63445" w:rsidRPr="00D63445" w:rsidRDefault="00D63445" w:rsidP="00D63445">
      <w:pPr>
        <w:numPr>
          <w:ilvl w:val="0"/>
          <w:numId w:val="8"/>
        </w:numPr>
        <w:tabs>
          <w:tab w:val="left" w:pos="404"/>
        </w:tabs>
        <w:spacing w:line="240" w:lineRule="auto"/>
        <w:jc w:val="both"/>
        <w:rPr>
          <w:rFonts w:ascii="Arial" w:eastAsia="Arial" w:hAnsi="Arial"/>
          <w:b/>
          <w:sz w:val="22"/>
          <w:szCs w:val="22"/>
        </w:rPr>
      </w:pPr>
      <w:r w:rsidRPr="00D63445">
        <w:rPr>
          <w:rFonts w:ascii="Arial" w:eastAsia="Arial" w:hAnsi="Arial"/>
          <w:sz w:val="22"/>
          <w:szCs w:val="22"/>
        </w:rPr>
        <w:t>El número de metros cuadrados.</w:t>
      </w:r>
    </w:p>
    <w:p w:rsidR="00D63445" w:rsidRPr="00D63445" w:rsidRDefault="00D63445" w:rsidP="00D63445">
      <w:pPr>
        <w:numPr>
          <w:ilvl w:val="0"/>
          <w:numId w:val="8"/>
        </w:numPr>
        <w:tabs>
          <w:tab w:val="left" w:pos="384"/>
        </w:tabs>
        <w:spacing w:line="240" w:lineRule="auto"/>
        <w:jc w:val="both"/>
        <w:rPr>
          <w:rFonts w:ascii="Arial" w:eastAsia="Arial" w:hAnsi="Arial"/>
          <w:b/>
          <w:sz w:val="22"/>
          <w:szCs w:val="22"/>
        </w:rPr>
      </w:pPr>
      <w:r w:rsidRPr="00D63445">
        <w:rPr>
          <w:rFonts w:ascii="Arial" w:eastAsia="Arial" w:hAnsi="Arial"/>
          <w:sz w:val="22"/>
          <w:szCs w:val="22"/>
        </w:rPr>
        <w:t>El número de metros cúbicos.</w:t>
      </w:r>
    </w:p>
    <w:p w:rsidR="00D63445" w:rsidRPr="00D63445" w:rsidRDefault="00D63445" w:rsidP="00D63445">
      <w:pPr>
        <w:numPr>
          <w:ilvl w:val="0"/>
          <w:numId w:val="8"/>
        </w:numPr>
        <w:tabs>
          <w:tab w:val="left" w:pos="404"/>
        </w:tabs>
        <w:spacing w:line="240" w:lineRule="auto"/>
        <w:jc w:val="both"/>
        <w:rPr>
          <w:rFonts w:ascii="Arial" w:eastAsia="Arial" w:hAnsi="Arial"/>
          <w:b/>
          <w:sz w:val="22"/>
          <w:szCs w:val="22"/>
        </w:rPr>
      </w:pPr>
      <w:r w:rsidRPr="00D63445">
        <w:rPr>
          <w:rFonts w:ascii="Arial" w:eastAsia="Arial" w:hAnsi="Arial"/>
          <w:sz w:val="22"/>
          <w:szCs w:val="22"/>
        </w:rPr>
        <w:t>El número de predios, departamentos o locales resultantes.</w:t>
      </w:r>
    </w:p>
    <w:p w:rsidR="00D63445" w:rsidRPr="00D63445" w:rsidRDefault="00D63445" w:rsidP="00D63445">
      <w:pPr>
        <w:numPr>
          <w:ilvl w:val="0"/>
          <w:numId w:val="8"/>
        </w:numPr>
        <w:tabs>
          <w:tab w:val="left" w:pos="384"/>
        </w:tabs>
        <w:spacing w:line="240" w:lineRule="auto"/>
        <w:jc w:val="both"/>
        <w:rPr>
          <w:rFonts w:ascii="Arial" w:eastAsia="Arial" w:hAnsi="Arial"/>
          <w:b/>
          <w:sz w:val="22"/>
          <w:szCs w:val="22"/>
        </w:rPr>
      </w:pPr>
      <w:r w:rsidRPr="00D63445">
        <w:rPr>
          <w:rFonts w:ascii="Arial" w:eastAsia="Arial" w:hAnsi="Arial"/>
          <w:sz w:val="22"/>
          <w:szCs w:val="22"/>
        </w:rPr>
        <w:t>El servicio prestado.</w:t>
      </w:r>
    </w:p>
    <w:p w:rsidR="00D63445" w:rsidRPr="00D63445" w:rsidRDefault="00D63445" w:rsidP="00D63445">
      <w:pPr>
        <w:tabs>
          <w:tab w:val="left" w:pos="384"/>
        </w:tabs>
        <w:spacing w:line="240" w:lineRule="auto"/>
        <w:ind w:left="384"/>
        <w:jc w:val="both"/>
        <w:rPr>
          <w:rFonts w:ascii="Arial" w:eastAsia="Arial" w:hAnsi="Arial"/>
          <w:sz w:val="22"/>
          <w:szCs w:val="22"/>
        </w:rPr>
      </w:pPr>
    </w:p>
    <w:tbl>
      <w:tblPr>
        <w:tblStyle w:val="Tablaconcuadrcula11"/>
        <w:tblW w:w="0" w:type="auto"/>
        <w:tblLook w:val="04A0" w:firstRow="1" w:lastRow="0" w:firstColumn="1" w:lastColumn="0" w:noHBand="0" w:noVBand="1"/>
      </w:tblPr>
      <w:tblGrid>
        <w:gridCol w:w="5524"/>
        <w:gridCol w:w="2865"/>
      </w:tblGrid>
      <w:tr w:rsidR="00D63445" w:rsidRPr="00D63445" w:rsidTr="004E2CF9">
        <w:tc>
          <w:tcPr>
            <w:tcW w:w="5524" w:type="dxa"/>
          </w:tcPr>
          <w:p w:rsidR="00D63445" w:rsidRPr="00D63445" w:rsidRDefault="00D63445" w:rsidP="00D63445">
            <w:pPr>
              <w:jc w:val="center"/>
              <w:rPr>
                <w:rFonts w:ascii="Arial" w:hAnsi="Arial"/>
                <w:b/>
                <w:sz w:val="22"/>
                <w:szCs w:val="22"/>
              </w:rPr>
            </w:pPr>
            <w:r w:rsidRPr="00D63445">
              <w:rPr>
                <w:rFonts w:ascii="Arial" w:hAnsi="Arial"/>
                <w:b/>
                <w:sz w:val="22"/>
                <w:szCs w:val="22"/>
              </w:rPr>
              <w:t>Concepto</w:t>
            </w:r>
          </w:p>
        </w:tc>
        <w:tc>
          <w:tcPr>
            <w:tcW w:w="2865" w:type="dxa"/>
          </w:tcPr>
          <w:p w:rsidR="00D63445" w:rsidRPr="00D63445" w:rsidRDefault="00D63445" w:rsidP="00D63445">
            <w:pPr>
              <w:jc w:val="center"/>
              <w:rPr>
                <w:rFonts w:ascii="Arial" w:hAnsi="Arial"/>
                <w:b/>
                <w:sz w:val="22"/>
                <w:szCs w:val="22"/>
              </w:rPr>
            </w:pPr>
            <w:r w:rsidRPr="00D63445">
              <w:rPr>
                <w:rFonts w:ascii="Arial" w:hAnsi="Arial"/>
                <w:b/>
                <w:sz w:val="22"/>
                <w:szCs w:val="22"/>
              </w:rPr>
              <w:t>Veces la Unidad de Medida y Actualización</w:t>
            </w:r>
          </w:p>
        </w:tc>
      </w:tr>
      <w:tr w:rsidR="00D63445" w:rsidRPr="00D63445" w:rsidTr="004E2CF9">
        <w:tc>
          <w:tcPr>
            <w:tcW w:w="5524" w:type="dxa"/>
          </w:tcPr>
          <w:p w:rsidR="00D63445" w:rsidRPr="00D63445" w:rsidRDefault="00D63445" w:rsidP="00D63445">
            <w:pPr>
              <w:rPr>
                <w:rFonts w:ascii="Arial" w:hAnsi="Arial"/>
                <w:sz w:val="22"/>
                <w:szCs w:val="22"/>
              </w:rPr>
            </w:pPr>
            <w:r w:rsidRPr="00D63445">
              <w:rPr>
                <w:rFonts w:ascii="Arial" w:hAnsi="Arial"/>
                <w:sz w:val="22"/>
                <w:szCs w:val="22"/>
              </w:rPr>
              <w:t>Licencia de uso de suelo para predios cuya superficie sea de hasta 50.00 metros cuadrados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10.0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uso de suelo para predios cuya superficie sea de 50.01 hasta 100.00 metros cuadrados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20.0</w:t>
            </w:r>
          </w:p>
        </w:tc>
      </w:tr>
      <w:tr w:rsidR="00D63445" w:rsidRPr="00D63445" w:rsidTr="004E2CF9">
        <w:tc>
          <w:tcPr>
            <w:tcW w:w="5524" w:type="dxa"/>
          </w:tcPr>
          <w:p w:rsidR="00D63445" w:rsidRPr="00D63445" w:rsidRDefault="00D63445" w:rsidP="00D63445">
            <w:pPr>
              <w:rPr>
                <w:rFonts w:ascii="Arial" w:hAnsi="Arial"/>
                <w:sz w:val="22"/>
                <w:szCs w:val="22"/>
              </w:rPr>
            </w:pPr>
            <w:r w:rsidRPr="00D63445">
              <w:rPr>
                <w:rFonts w:ascii="Arial" w:hAnsi="Arial"/>
                <w:sz w:val="22"/>
                <w:szCs w:val="22"/>
              </w:rPr>
              <w:t>Licencia de uso de suelo para predios cuya superficie sea de 100.01 hasta 500.00 metros cuadrados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30.0</w:t>
            </w:r>
          </w:p>
        </w:tc>
      </w:tr>
      <w:tr w:rsidR="00D63445" w:rsidRPr="00D63445" w:rsidTr="004E2CF9">
        <w:tc>
          <w:tcPr>
            <w:tcW w:w="5524" w:type="dxa"/>
          </w:tcPr>
          <w:p w:rsidR="00D63445" w:rsidRPr="00D63445" w:rsidRDefault="00D63445" w:rsidP="00D63445">
            <w:pPr>
              <w:rPr>
                <w:rFonts w:ascii="Arial" w:hAnsi="Arial"/>
                <w:sz w:val="22"/>
                <w:szCs w:val="22"/>
              </w:rPr>
            </w:pPr>
            <w:r w:rsidRPr="00D63445">
              <w:rPr>
                <w:rFonts w:ascii="Arial" w:hAnsi="Arial"/>
                <w:sz w:val="22"/>
                <w:szCs w:val="22"/>
              </w:rPr>
              <w:t>Licencia de uso de suelo para predios cuya superficie sea de 500.01 hasta 5,000.00 metros cuadrados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40.0</w:t>
            </w:r>
          </w:p>
        </w:tc>
      </w:tr>
      <w:tr w:rsidR="00D63445" w:rsidRPr="00D63445" w:rsidTr="004E2CF9">
        <w:tc>
          <w:tcPr>
            <w:tcW w:w="5524" w:type="dxa"/>
          </w:tcPr>
          <w:p w:rsidR="00D63445" w:rsidRPr="00D63445" w:rsidRDefault="00D63445" w:rsidP="00D63445">
            <w:pPr>
              <w:rPr>
                <w:rFonts w:ascii="Arial" w:hAnsi="Arial"/>
                <w:sz w:val="22"/>
                <w:szCs w:val="22"/>
              </w:rPr>
            </w:pPr>
            <w:r w:rsidRPr="00D63445">
              <w:rPr>
                <w:rFonts w:ascii="Arial" w:hAnsi="Arial"/>
                <w:sz w:val="22"/>
                <w:szCs w:val="22"/>
              </w:rPr>
              <w:t>Licencia de uso de suelo para predios cuya superficie sea mayor a 5,000.00 metros cuadrados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50.0</w:t>
            </w:r>
          </w:p>
        </w:tc>
      </w:tr>
      <w:tr w:rsidR="00D63445" w:rsidRPr="00D63445" w:rsidTr="004E2CF9">
        <w:tc>
          <w:tcPr>
            <w:tcW w:w="5524" w:type="dxa"/>
          </w:tcPr>
          <w:p w:rsidR="00D63445" w:rsidRPr="00D63445" w:rsidRDefault="00D63445" w:rsidP="00D63445">
            <w:pPr>
              <w:rPr>
                <w:rFonts w:ascii="Arial" w:hAnsi="Arial"/>
                <w:sz w:val="22"/>
                <w:szCs w:val="22"/>
              </w:rPr>
            </w:pPr>
            <w:r w:rsidRPr="00D63445">
              <w:rPr>
                <w:rFonts w:ascii="Arial" w:hAnsi="Arial"/>
                <w:sz w:val="22"/>
                <w:szCs w:val="22"/>
              </w:rPr>
              <w:t>Licencia de uso de suelo para Gasolinera o Estación de Servicio</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400.0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uso de suelo para Expendio de cerveza, tienda de autoservicio, licorería o bar</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uso de suelo para Bar, cantina, video bar, cabaret, centro nocturno, discoteca</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300.0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uso de suelo para Sala de fiestas cerrada</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150.0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uso de suelo para Expendio de cerveza, tienda de autoservicio, licorería o bar</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200.0</w:t>
            </w:r>
          </w:p>
        </w:tc>
      </w:tr>
      <w:tr w:rsidR="00D63445" w:rsidRPr="00D63445" w:rsidTr="004E2CF9">
        <w:tc>
          <w:tcPr>
            <w:tcW w:w="5524" w:type="dxa"/>
          </w:tcPr>
          <w:p w:rsidR="00D63445" w:rsidRPr="00D63445" w:rsidRDefault="00D63445" w:rsidP="00D63445">
            <w:pPr>
              <w:rPr>
                <w:rFonts w:ascii="Arial" w:hAnsi="Arial"/>
                <w:sz w:val="22"/>
                <w:szCs w:val="22"/>
              </w:rPr>
            </w:pPr>
            <w:r w:rsidRPr="00D63445">
              <w:rPr>
                <w:rFonts w:ascii="Arial" w:hAnsi="Arial"/>
                <w:sz w:val="22"/>
                <w:szCs w:val="22"/>
              </w:rPr>
              <w:t>Licencia de uso de suelo para construcción de Torre de comunicación de una estructura monopolar para colocación de antena celular, de una base de concreto o adición de cualquier equipo de telecomunicación sobre una torre de alta tensión o sobre infraestructura existente</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100.0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uso de suelo para Restaurante de Primera</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uso de suelo para Restaurante de Segunda</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150.0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Constancia de alineamiento</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0.50 por metro lineal</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Construcción para superficie cubierta hasta 45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0.20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Construcción para superficie cubierta mayor de 45 m2 y hasta 120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0.25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Construcción para superficie cubierta mayor de 120 m2 y hasta 240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0.30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Construcción para superficie cubierta mayor de 240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0.35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de demolición o desmantelamiento</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0.20 por metro lineal o metro cuadrado, según corresponda</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para Excavaciones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 por metro cúbico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para construcción de bardas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 por metro lineal</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Constancia de terminación de obra con superficie cubierta hasta 45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0.05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Constancia de terminación de obra con superficie cubierta mayor de 45 m2 y hasta 120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0.10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Constancia de terminación de obra con superficie cubierta mayor de 120 y hasta 240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0.15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Constancia de terminación de obra con superficie cubierta mayor de 240 m2</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0.20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Validación de planos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 por plano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Certificados de seguridad para el uso de explosivos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 por certificado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 para hacer cortes en banquetas, pavimento y guarniciones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Otorgamiento de constancias a que se refiere la Ley Sobre el Régimen de Propiedad y Condominio Inmobiliario del Estado de Yucatán</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 por constancia</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Licencias para obras de urbanización</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0.20 por metro cuadrado de superficie solicitada</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Constancias de unión y división de inmuebles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0.20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Permiso de anuncios de carácter mixto o de propaganda o publicidad permanentes en inmuebles o en mobiliario urbano</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1.50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Permiso de anuncios de carácter denominativo permanente en inmuebles con una superficie mayor de 1.5 metros cuadrados</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0.50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Permiso de anuncios por difusión de propaganda o publicidad asociada a</w:t>
            </w:r>
          </w:p>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música o sonido</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0.50 por día</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Permiso de anuncios de proyección óptica, electrónicos o iluminados con luz león</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1.50 por metro cuadrado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 xml:space="preserve">Visita de inspección solicitada por particulares </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2.50 por visita solicitada</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Expedición de oficios de Anuencia de Electrificación</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0.25 por oficio</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Emisión de copias simples de cualquier documentación contenida en los expedientes de la Dirección de Desarrollo Urbano</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0.50 por página</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Emisión de copias certificadas de cualquier documentación contenida en los expedientes de la Dirección de Desarrollo Urbano</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0.50 por página</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Expedición de duplicado de recibo oficial</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1.0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Autorización de Ocupación</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5.0</w:t>
            </w:r>
          </w:p>
        </w:tc>
      </w:tr>
      <w:tr w:rsidR="00D63445" w:rsidRPr="00D63445" w:rsidTr="004E2CF9">
        <w:tc>
          <w:tcPr>
            <w:tcW w:w="5524" w:type="dxa"/>
          </w:tcPr>
          <w:p w:rsidR="00D63445" w:rsidRPr="00D63445" w:rsidRDefault="00D63445" w:rsidP="00D63445">
            <w:pPr>
              <w:autoSpaceDE w:val="0"/>
              <w:autoSpaceDN w:val="0"/>
              <w:adjustRightInd w:val="0"/>
              <w:rPr>
                <w:rFonts w:ascii="Arial" w:hAnsi="Arial"/>
                <w:sz w:val="22"/>
                <w:szCs w:val="22"/>
              </w:rPr>
            </w:pPr>
            <w:r w:rsidRPr="00D63445">
              <w:rPr>
                <w:rFonts w:ascii="Arial" w:hAnsi="Arial"/>
                <w:sz w:val="22"/>
                <w:szCs w:val="22"/>
              </w:rPr>
              <w:t>Constancia de terminación de obra</w:t>
            </w:r>
          </w:p>
        </w:tc>
        <w:tc>
          <w:tcPr>
            <w:tcW w:w="2865" w:type="dxa"/>
          </w:tcPr>
          <w:p w:rsidR="00D63445" w:rsidRPr="00D63445" w:rsidRDefault="00D63445" w:rsidP="00D63445">
            <w:pPr>
              <w:jc w:val="center"/>
              <w:rPr>
                <w:rFonts w:ascii="Arial" w:hAnsi="Arial"/>
                <w:sz w:val="22"/>
                <w:szCs w:val="22"/>
              </w:rPr>
            </w:pPr>
            <w:r w:rsidRPr="00D63445">
              <w:rPr>
                <w:rFonts w:ascii="Arial" w:hAnsi="Arial"/>
                <w:sz w:val="22"/>
                <w:szCs w:val="22"/>
              </w:rPr>
              <w:t>5.0</w:t>
            </w:r>
          </w:p>
        </w:tc>
      </w:tr>
    </w:tbl>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tabs>
          <w:tab w:val="left" w:pos="384"/>
        </w:tabs>
        <w:spacing w:line="240" w:lineRule="auto"/>
        <w:jc w:val="both"/>
        <w:rPr>
          <w:rFonts w:ascii="Arial" w:eastAsia="Times New Roman" w:hAnsi="Arial"/>
          <w:b/>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ADICIONA  EL ARTICULO 25 C) QUEDANDO COMO SIGUE: </w:t>
      </w:r>
    </w:p>
    <w:p w:rsidR="00D63445" w:rsidRPr="00D63445" w:rsidRDefault="00D63445" w:rsidP="00D63445">
      <w:pPr>
        <w:tabs>
          <w:tab w:val="left" w:pos="384"/>
        </w:tabs>
        <w:spacing w:line="240" w:lineRule="auto"/>
        <w:jc w:val="both"/>
        <w:rPr>
          <w:rFonts w:ascii="Arial" w:eastAsia="Times New Roman" w:hAnsi="Arial"/>
          <w:b/>
          <w:sz w:val="22"/>
          <w:szCs w:val="22"/>
        </w:rPr>
      </w:pPr>
    </w:p>
    <w:p w:rsidR="00D63445" w:rsidRPr="00D63445" w:rsidRDefault="00D63445" w:rsidP="00D63445">
      <w:pPr>
        <w:tabs>
          <w:tab w:val="left" w:pos="384"/>
        </w:tabs>
        <w:spacing w:line="240" w:lineRule="auto"/>
        <w:jc w:val="both"/>
        <w:rPr>
          <w:rFonts w:ascii="Arial" w:eastAsia="Arial" w:hAnsi="Arial"/>
          <w:sz w:val="22"/>
          <w:szCs w:val="22"/>
        </w:rPr>
      </w:pPr>
      <w:r w:rsidRPr="00D63445">
        <w:rPr>
          <w:rFonts w:ascii="Arial" w:eastAsia="Times New Roman" w:hAnsi="Arial"/>
          <w:b/>
          <w:sz w:val="22"/>
          <w:szCs w:val="22"/>
        </w:rPr>
        <w:t xml:space="preserve">ARTICULO 25 C).- </w:t>
      </w:r>
      <w:r w:rsidRPr="00D63445">
        <w:rPr>
          <w:rFonts w:ascii="Arial" w:eastAsia="Arial" w:hAnsi="Arial"/>
          <w:sz w:val="22"/>
          <w:szCs w:val="22"/>
        </w:rPr>
        <w:t>Para los efectos de esta ley, las construcciones se clasificarán</w:t>
      </w:r>
      <w:r w:rsidRPr="00D63445">
        <w:rPr>
          <w:rFonts w:ascii="Arial" w:eastAsia="Arial" w:hAnsi="Arial"/>
          <w:b/>
          <w:sz w:val="22"/>
          <w:szCs w:val="22"/>
        </w:rPr>
        <w:t xml:space="preserve"> </w:t>
      </w:r>
      <w:r w:rsidRPr="00D63445">
        <w:rPr>
          <w:rFonts w:ascii="Arial" w:eastAsia="Arial" w:hAnsi="Arial"/>
          <w:sz w:val="22"/>
          <w:szCs w:val="22"/>
        </w:rPr>
        <w:t>en dos tipos:</w:t>
      </w:r>
      <w:bookmarkStart w:id="1" w:name="page51"/>
      <w:bookmarkEnd w:id="1"/>
    </w:p>
    <w:p w:rsidR="00D63445" w:rsidRPr="00D63445" w:rsidRDefault="00D63445" w:rsidP="00D63445">
      <w:pPr>
        <w:tabs>
          <w:tab w:val="left" w:pos="384"/>
        </w:tabs>
        <w:spacing w:line="240" w:lineRule="auto"/>
        <w:jc w:val="both"/>
        <w:rPr>
          <w:rFonts w:ascii="Arial" w:eastAsia="Arial" w:hAnsi="Arial"/>
          <w:b/>
          <w:sz w:val="22"/>
          <w:szCs w:val="22"/>
        </w:rPr>
      </w:pPr>
    </w:p>
    <w:p w:rsidR="00D63445" w:rsidRPr="00D63445" w:rsidRDefault="00D63445" w:rsidP="00D63445">
      <w:pPr>
        <w:tabs>
          <w:tab w:val="left" w:pos="384"/>
        </w:tabs>
        <w:spacing w:line="240" w:lineRule="auto"/>
        <w:jc w:val="both"/>
        <w:rPr>
          <w:rFonts w:ascii="Arial" w:eastAsia="Arial" w:hAnsi="Arial"/>
          <w:b/>
          <w:sz w:val="22"/>
          <w:szCs w:val="22"/>
        </w:rPr>
      </w:pPr>
      <w:r w:rsidRPr="00D63445">
        <w:rPr>
          <w:rFonts w:ascii="Arial" w:eastAsia="Arial" w:hAnsi="Arial"/>
          <w:b/>
          <w:sz w:val="22"/>
          <w:szCs w:val="22"/>
        </w:rPr>
        <w:t>Construcción Tipo A:</w:t>
      </w:r>
    </w:p>
    <w:p w:rsidR="00D63445" w:rsidRPr="00D63445" w:rsidRDefault="00D63445" w:rsidP="00D63445">
      <w:pPr>
        <w:tabs>
          <w:tab w:val="left" w:pos="384"/>
        </w:tabs>
        <w:spacing w:line="240" w:lineRule="auto"/>
        <w:jc w:val="both"/>
        <w:rPr>
          <w:rFonts w:ascii="Arial" w:eastAsia="Arial" w:hAnsi="Arial"/>
          <w:sz w:val="22"/>
          <w:szCs w:val="22"/>
        </w:rPr>
      </w:pPr>
      <w:r w:rsidRPr="00D63445">
        <w:rPr>
          <w:rFonts w:ascii="Arial" w:eastAsia="Arial" w:hAnsi="Arial"/>
          <w:sz w:val="22"/>
          <w:szCs w:val="22"/>
        </w:rPr>
        <w:t>Es aquella construcción estructurada, cubierta con concreto armado o cualquier otro elemento especial, con excepción de las señaladas como tipo B.</w:t>
      </w:r>
    </w:p>
    <w:p w:rsidR="00D63445" w:rsidRPr="00D63445" w:rsidRDefault="00D63445" w:rsidP="00D63445">
      <w:pPr>
        <w:tabs>
          <w:tab w:val="left" w:pos="384"/>
        </w:tabs>
        <w:spacing w:line="240" w:lineRule="auto"/>
        <w:jc w:val="both"/>
        <w:rPr>
          <w:rFonts w:ascii="Arial" w:eastAsia="Arial" w:hAnsi="Arial"/>
          <w:b/>
          <w:sz w:val="22"/>
          <w:szCs w:val="22"/>
        </w:rPr>
      </w:pPr>
    </w:p>
    <w:p w:rsidR="00D63445" w:rsidRPr="00D63445" w:rsidRDefault="00D63445" w:rsidP="00D63445">
      <w:pPr>
        <w:tabs>
          <w:tab w:val="left" w:pos="384"/>
        </w:tabs>
        <w:spacing w:line="240" w:lineRule="auto"/>
        <w:jc w:val="both"/>
        <w:rPr>
          <w:rFonts w:ascii="Arial" w:eastAsia="Arial" w:hAnsi="Arial"/>
          <w:b/>
          <w:sz w:val="22"/>
          <w:szCs w:val="22"/>
        </w:rPr>
      </w:pPr>
      <w:r w:rsidRPr="00D63445">
        <w:rPr>
          <w:rFonts w:ascii="Arial" w:eastAsia="Arial" w:hAnsi="Arial"/>
          <w:b/>
          <w:sz w:val="22"/>
          <w:szCs w:val="22"/>
        </w:rPr>
        <w:t>Construcción tipo B:</w:t>
      </w:r>
    </w:p>
    <w:p w:rsidR="00D63445" w:rsidRPr="00D63445" w:rsidRDefault="00D63445" w:rsidP="00D63445">
      <w:pPr>
        <w:tabs>
          <w:tab w:val="left" w:pos="384"/>
        </w:tabs>
        <w:spacing w:line="240" w:lineRule="auto"/>
        <w:jc w:val="both"/>
        <w:rPr>
          <w:rFonts w:ascii="Arial" w:eastAsia="Arial" w:hAnsi="Arial"/>
          <w:b/>
          <w:sz w:val="22"/>
          <w:szCs w:val="22"/>
        </w:rPr>
      </w:pPr>
      <w:r w:rsidRPr="00D63445">
        <w:rPr>
          <w:rFonts w:ascii="Arial" w:eastAsia="Arial" w:hAnsi="Arial"/>
          <w:sz w:val="22"/>
          <w:szCs w:val="22"/>
        </w:rPr>
        <w:t>Es aquella construcción estructurada cubierta de madera, cartón, paja, lámina metálica, lámina de asbesto o lámina de cartón.</w:t>
      </w:r>
    </w:p>
    <w:p w:rsidR="00D63445" w:rsidRPr="00D63445" w:rsidRDefault="00D63445" w:rsidP="00D63445">
      <w:pPr>
        <w:tabs>
          <w:tab w:val="left" w:pos="384"/>
        </w:tabs>
        <w:spacing w:line="240" w:lineRule="auto"/>
        <w:jc w:val="both"/>
        <w:rPr>
          <w:rFonts w:ascii="Arial" w:eastAsia="Arial" w:hAnsi="Arial"/>
          <w:sz w:val="22"/>
          <w:szCs w:val="22"/>
        </w:rPr>
      </w:pPr>
      <w:r w:rsidRPr="00D63445">
        <w:rPr>
          <w:rFonts w:ascii="Arial" w:eastAsia="Arial" w:hAnsi="Arial"/>
          <w:sz w:val="22"/>
          <w:szCs w:val="22"/>
        </w:rPr>
        <w:t>Ambos tipos de construcción podrán ser:</w:t>
      </w:r>
    </w:p>
    <w:p w:rsidR="00D63445" w:rsidRPr="00D63445" w:rsidRDefault="00D63445" w:rsidP="00D63445">
      <w:pPr>
        <w:tabs>
          <w:tab w:val="left" w:pos="384"/>
        </w:tabs>
        <w:spacing w:line="240" w:lineRule="auto"/>
        <w:jc w:val="both"/>
        <w:rPr>
          <w:rFonts w:ascii="Arial" w:eastAsia="Arial" w:hAnsi="Arial"/>
          <w:b/>
          <w:sz w:val="22"/>
          <w:szCs w:val="22"/>
        </w:rPr>
      </w:pPr>
    </w:p>
    <w:p w:rsidR="00D63445" w:rsidRPr="00D63445" w:rsidRDefault="00D63445" w:rsidP="00D63445">
      <w:pPr>
        <w:tabs>
          <w:tab w:val="left" w:pos="384"/>
        </w:tabs>
        <w:spacing w:line="240" w:lineRule="auto"/>
        <w:jc w:val="both"/>
        <w:rPr>
          <w:rFonts w:ascii="Arial" w:eastAsia="Arial" w:hAnsi="Arial"/>
          <w:b/>
          <w:sz w:val="22"/>
          <w:szCs w:val="22"/>
        </w:rPr>
      </w:pPr>
      <w:r w:rsidRPr="00D63445">
        <w:rPr>
          <w:rFonts w:ascii="Arial" w:eastAsia="Arial" w:hAnsi="Arial"/>
          <w:b/>
          <w:sz w:val="22"/>
          <w:szCs w:val="22"/>
        </w:rPr>
        <w:t xml:space="preserve">Clase 1: </w:t>
      </w:r>
      <w:r w:rsidRPr="00D63445">
        <w:rPr>
          <w:rFonts w:ascii="Arial" w:eastAsia="Arial" w:hAnsi="Arial"/>
          <w:sz w:val="22"/>
          <w:szCs w:val="22"/>
        </w:rPr>
        <w:t>Con construcción hasta de 45.00 metros cuadrados.</w:t>
      </w:r>
    </w:p>
    <w:p w:rsidR="00D63445" w:rsidRPr="00D63445" w:rsidRDefault="00D63445" w:rsidP="00D63445">
      <w:pPr>
        <w:tabs>
          <w:tab w:val="left" w:pos="384"/>
        </w:tabs>
        <w:spacing w:line="240" w:lineRule="auto"/>
        <w:jc w:val="both"/>
        <w:rPr>
          <w:rFonts w:ascii="Arial" w:eastAsia="Arial" w:hAnsi="Arial"/>
          <w:b/>
          <w:sz w:val="22"/>
          <w:szCs w:val="22"/>
        </w:rPr>
      </w:pPr>
      <w:r w:rsidRPr="00D63445">
        <w:rPr>
          <w:rFonts w:ascii="Arial" w:eastAsia="Arial" w:hAnsi="Arial"/>
          <w:b/>
          <w:sz w:val="22"/>
          <w:szCs w:val="22"/>
        </w:rPr>
        <w:t xml:space="preserve">Clase 2: </w:t>
      </w:r>
      <w:r w:rsidRPr="00D63445">
        <w:rPr>
          <w:rFonts w:ascii="Arial" w:eastAsia="Arial" w:hAnsi="Arial"/>
          <w:sz w:val="22"/>
          <w:szCs w:val="22"/>
        </w:rPr>
        <w:t>Con construcción desde 46.00 hasta 120.00 metros cuadrados.</w:t>
      </w:r>
    </w:p>
    <w:p w:rsidR="00D63445" w:rsidRPr="00D63445" w:rsidRDefault="00D63445" w:rsidP="00D63445">
      <w:pPr>
        <w:tabs>
          <w:tab w:val="left" w:pos="384"/>
        </w:tabs>
        <w:spacing w:line="240" w:lineRule="auto"/>
        <w:jc w:val="both"/>
        <w:rPr>
          <w:rFonts w:ascii="Arial" w:eastAsia="Arial" w:hAnsi="Arial"/>
          <w:b/>
          <w:sz w:val="22"/>
          <w:szCs w:val="22"/>
        </w:rPr>
      </w:pPr>
      <w:r w:rsidRPr="00D63445">
        <w:rPr>
          <w:rFonts w:ascii="Arial" w:eastAsia="Arial" w:hAnsi="Arial"/>
          <w:b/>
          <w:sz w:val="22"/>
          <w:szCs w:val="22"/>
        </w:rPr>
        <w:t xml:space="preserve">Clase 3: </w:t>
      </w:r>
      <w:r w:rsidRPr="00D63445">
        <w:rPr>
          <w:rFonts w:ascii="Arial" w:eastAsia="Arial" w:hAnsi="Arial"/>
          <w:sz w:val="22"/>
          <w:szCs w:val="22"/>
        </w:rPr>
        <w:t>Con construcción desde 121.00 hasta 240.00 metros cuadrados.</w:t>
      </w:r>
    </w:p>
    <w:p w:rsidR="00D63445" w:rsidRPr="00D63445" w:rsidRDefault="00D63445" w:rsidP="00D63445">
      <w:pPr>
        <w:tabs>
          <w:tab w:val="left" w:pos="384"/>
        </w:tabs>
        <w:spacing w:line="240" w:lineRule="auto"/>
        <w:jc w:val="both"/>
        <w:rPr>
          <w:rFonts w:ascii="Arial" w:eastAsia="Arial" w:hAnsi="Arial"/>
          <w:b/>
          <w:sz w:val="22"/>
          <w:szCs w:val="22"/>
        </w:rPr>
      </w:pPr>
      <w:r w:rsidRPr="00D63445">
        <w:rPr>
          <w:rFonts w:ascii="Arial" w:eastAsia="Arial" w:hAnsi="Arial"/>
          <w:b/>
          <w:sz w:val="22"/>
          <w:szCs w:val="22"/>
        </w:rPr>
        <w:t xml:space="preserve">Clase 4: </w:t>
      </w:r>
      <w:r w:rsidRPr="00D63445">
        <w:rPr>
          <w:rFonts w:ascii="Arial" w:eastAsia="Arial" w:hAnsi="Arial"/>
          <w:sz w:val="22"/>
          <w:szCs w:val="22"/>
        </w:rPr>
        <w:t>Con construcción desde 241.00 metros cuadrados en adelante.</w:t>
      </w:r>
    </w:p>
    <w:p w:rsidR="00D63445" w:rsidRPr="00D63445" w:rsidRDefault="00D63445" w:rsidP="00D63445">
      <w:pPr>
        <w:spacing w:line="360" w:lineRule="auto"/>
        <w:jc w:val="both"/>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36)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r w:rsidRPr="00D63445">
        <w:rPr>
          <w:rFonts w:ascii="Arial" w:eastAsia="Times New Roman" w:hAnsi="Arial"/>
          <w:b/>
          <w:bCs/>
          <w:sz w:val="22"/>
          <w:szCs w:val="22"/>
        </w:rPr>
        <w:t xml:space="preserve">Artículo 36.-…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sz w:val="22"/>
          <w:szCs w:val="22"/>
        </w:rPr>
        <w:t>…</w:t>
      </w:r>
      <w:r w:rsidRPr="00D63445">
        <w:rPr>
          <w:rFonts w:ascii="Arial" w:eastAsia="Times New Roman" w:hAnsi="Arial"/>
          <w:sz w:val="22"/>
          <w:szCs w:val="22"/>
        </w:rPr>
        <w:t xml:space="preserve"> en la Ley de Hacienda del Municipio de Celestún, Yucatán.</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38)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r w:rsidRPr="00D63445">
        <w:rPr>
          <w:rFonts w:ascii="Arial" w:eastAsia="Times New Roman" w:hAnsi="Arial"/>
          <w:b/>
          <w:bCs/>
          <w:sz w:val="22"/>
          <w:szCs w:val="22"/>
        </w:rPr>
        <w:t xml:space="preserve">Artículo 38.-…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sz w:val="22"/>
          <w:szCs w:val="22"/>
        </w:rPr>
        <w:t>…</w:t>
      </w:r>
      <w:r w:rsidRPr="00D63445">
        <w:rPr>
          <w:rFonts w:ascii="Arial" w:eastAsia="Times New Roman" w:hAnsi="Arial"/>
          <w:sz w:val="22"/>
          <w:szCs w:val="22"/>
        </w:rPr>
        <w:t xml:space="preserve"> en la Ley de Hacienda del Municipio de Celestún, Yucatán.</w:t>
      </w:r>
    </w:p>
    <w:p w:rsidR="00D63445" w:rsidRPr="00D63445" w:rsidRDefault="00D63445" w:rsidP="00D63445">
      <w:pPr>
        <w:widowControl w:val="0"/>
        <w:autoSpaceDE w:val="0"/>
        <w:autoSpaceDN w:val="0"/>
        <w:adjustRightInd w:val="0"/>
        <w:spacing w:line="360" w:lineRule="auto"/>
        <w:jc w:val="center"/>
        <w:rPr>
          <w:rFonts w:ascii="Arial" w:eastAsia="Times New Roman" w:hAnsi="Arial"/>
          <w:sz w:val="22"/>
          <w:szCs w:val="22"/>
        </w:rPr>
      </w:pPr>
    </w:p>
    <w:p w:rsidR="00D63445" w:rsidRPr="00D63445" w:rsidRDefault="00D63445" w:rsidP="00D63445">
      <w:pPr>
        <w:widowControl w:val="0"/>
        <w:numPr>
          <w:ilvl w:val="0"/>
          <w:numId w:val="46"/>
        </w:numPr>
        <w:autoSpaceDE w:val="0"/>
        <w:autoSpaceDN w:val="0"/>
        <w:adjustRightInd w:val="0"/>
        <w:spacing w:line="360" w:lineRule="auto"/>
        <w:contextualSpacing/>
        <w:jc w:val="both"/>
        <w:rPr>
          <w:rFonts w:ascii="Arial" w:eastAsia="Times New Roman" w:hAnsi="Arial"/>
          <w:b/>
          <w:bCs/>
          <w:sz w:val="22"/>
          <w:szCs w:val="22"/>
        </w:rPr>
      </w:pPr>
      <w:r w:rsidRPr="00D63445">
        <w:rPr>
          <w:rFonts w:ascii="Arial" w:eastAsia="Times New Roman" w:hAnsi="Arial"/>
          <w:b/>
          <w:bCs/>
          <w:sz w:val="22"/>
          <w:szCs w:val="22"/>
        </w:rPr>
        <w:t xml:space="preserve">SE MODIFICA EL ARTICULO 40) QUEDANDO COMO SIGUE: </w:t>
      </w:r>
    </w:p>
    <w:p w:rsidR="00D63445" w:rsidRPr="00D63445" w:rsidRDefault="00D63445" w:rsidP="00D63445">
      <w:pPr>
        <w:widowControl w:val="0"/>
        <w:autoSpaceDE w:val="0"/>
        <w:autoSpaceDN w:val="0"/>
        <w:adjustRightInd w:val="0"/>
        <w:spacing w:line="360" w:lineRule="auto"/>
        <w:jc w:val="both"/>
        <w:rPr>
          <w:rFonts w:ascii="Arial" w:eastAsia="Times New Roman" w:hAnsi="Arial"/>
          <w:b/>
          <w:bCs/>
          <w:sz w:val="22"/>
          <w:szCs w:val="22"/>
        </w:rPr>
      </w:pPr>
      <w:r w:rsidRPr="00D63445">
        <w:rPr>
          <w:rFonts w:ascii="Arial" w:eastAsia="Times New Roman" w:hAnsi="Arial"/>
          <w:b/>
          <w:bCs/>
          <w:sz w:val="22"/>
          <w:szCs w:val="22"/>
        </w:rPr>
        <w:t xml:space="preserve">Artículo 40.-… </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r w:rsidRPr="00D63445">
        <w:rPr>
          <w:rFonts w:ascii="Arial" w:eastAsia="Times New Roman" w:hAnsi="Arial"/>
          <w:b/>
          <w:sz w:val="22"/>
          <w:szCs w:val="22"/>
        </w:rPr>
        <w:t>…</w:t>
      </w:r>
      <w:r w:rsidRPr="00D63445">
        <w:rPr>
          <w:rFonts w:ascii="Arial" w:eastAsia="Times New Roman" w:hAnsi="Arial"/>
          <w:sz w:val="22"/>
          <w:szCs w:val="22"/>
        </w:rPr>
        <w:t xml:space="preserve"> en la Ley de Hacienda del Municipio de Celestún, Yucatán.</w:t>
      </w:r>
    </w:p>
    <w:p w:rsidR="00D63445" w:rsidRPr="00D63445" w:rsidRDefault="00D63445" w:rsidP="00D63445">
      <w:pPr>
        <w:widowControl w:val="0"/>
        <w:autoSpaceDE w:val="0"/>
        <w:autoSpaceDN w:val="0"/>
        <w:adjustRightInd w:val="0"/>
        <w:spacing w:line="360" w:lineRule="auto"/>
        <w:jc w:val="both"/>
        <w:rPr>
          <w:rFonts w:ascii="Arial" w:eastAsia="Times New Roman" w:hAnsi="Arial"/>
          <w:sz w:val="22"/>
          <w:szCs w:val="22"/>
        </w:rPr>
      </w:pPr>
    </w:p>
    <w:p w:rsidR="00D63445" w:rsidRDefault="00D63445" w:rsidP="00D63445">
      <w:pPr>
        <w:widowControl w:val="0"/>
        <w:autoSpaceDE w:val="0"/>
        <w:autoSpaceDN w:val="0"/>
        <w:adjustRightInd w:val="0"/>
        <w:spacing w:line="360" w:lineRule="auto"/>
        <w:jc w:val="center"/>
        <w:rPr>
          <w:rFonts w:ascii="Arial" w:eastAsia="Times New Roman" w:hAnsi="Arial"/>
          <w:b/>
          <w:bCs/>
          <w:sz w:val="22"/>
          <w:szCs w:val="22"/>
          <w:u w:val="single"/>
          <w:lang w:val="en-US"/>
        </w:rPr>
      </w:pPr>
      <w:r w:rsidRPr="00D63445">
        <w:rPr>
          <w:rFonts w:ascii="Arial" w:eastAsia="Times New Roman" w:hAnsi="Arial"/>
          <w:b/>
          <w:bCs/>
          <w:sz w:val="22"/>
          <w:szCs w:val="22"/>
          <w:u w:val="single"/>
          <w:lang w:val="en-US"/>
        </w:rPr>
        <w:t>T r a n s i t o r i o:</w:t>
      </w:r>
    </w:p>
    <w:p w:rsidR="004E2CF9" w:rsidRDefault="004E2CF9" w:rsidP="004E2CF9">
      <w:pPr>
        <w:widowControl w:val="0"/>
        <w:autoSpaceDE w:val="0"/>
        <w:autoSpaceDN w:val="0"/>
        <w:adjustRightInd w:val="0"/>
        <w:spacing w:line="360" w:lineRule="auto"/>
        <w:jc w:val="both"/>
        <w:rPr>
          <w:rFonts w:ascii="Arial" w:eastAsia="Times New Roman" w:hAnsi="Arial"/>
          <w:b/>
          <w:bCs/>
          <w:sz w:val="22"/>
          <w:szCs w:val="22"/>
          <w:u w:val="single"/>
          <w:lang w:val="en-US"/>
        </w:rPr>
      </w:pPr>
      <w:r w:rsidRPr="00D63445">
        <w:rPr>
          <w:rFonts w:ascii="Arial" w:eastAsia="Times New Roman" w:hAnsi="Arial"/>
          <w:b/>
          <w:sz w:val="22"/>
          <w:szCs w:val="22"/>
        </w:rPr>
        <w:t>PRIMERO.-</w:t>
      </w:r>
      <w:r>
        <w:rPr>
          <w:rFonts w:ascii="Arial" w:eastAsia="Times New Roman" w:hAnsi="Arial"/>
          <w:sz w:val="22"/>
          <w:szCs w:val="22"/>
        </w:rPr>
        <w:t xml:space="preserve"> Las reformas, adiciones y mo</w:t>
      </w:r>
      <w:r w:rsidRPr="00D63445">
        <w:rPr>
          <w:rFonts w:ascii="Arial" w:eastAsia="Times New Roman" w:hAnsi="Arial"/>
          <w:sz w:val="22"/>
          <w:szCs w:val="22"/>
        </w:rPr>
        <w:t>di</w:t>
      </w:r>
      <w:r>
        <w:rPr>
          <w:rFonts w:ascii="Arial" w:eastAsia="Times New Roman" w:hAnsi="Arial"/>
          <w:sz w:val="22"/>
          <w:szCs w:val="22"/>
        </w:rPr>
        <w:t>fi</w:t>
      </w:r>
      <w:r w:rsidRPr="00D63445">
        <w:rPr>
          <w:rFonts w:ascii="Arial" w:eastAsia="Times New Roman" w:hAnsi="Arial"/>
          <w:sz w:val="22"/>
          <w:szCs w:val="22"/>
        </w:rPr>
        <w:t>cación a la ley de ingresos del municipio de Celestún, Yucatán</w:t>
      </w:r>
      <w:r>
        <w:rPr>
          <w:rFonts w:ascii="Arial" w:eastAsia="Times New Roman" w:hAnsi="Arial"/>
          <w:sz w:val="22"/>
          <w:szCs w:val="22"/>
        </w:rPr>
        <w:t xml:space="preserve"> del año dos mil diecinueve</w:t>
      </w:r>
      <w:r w:rsidRPr="00D63445">
        <w:rPr>
          <w:rFonts w:ascii="Arial" w:eastAsia="Times New Roman" w:hAnsi="Arial"/>
          <w:sz w:val="22"/>
          <w:szCs w:val="22"/>
        </w:rPr>
        <w:t>, entrara en vigor una vez que sea aprobada</w:t>
      </w:r>
      <w:r>
        <w:rPr>
          <w:rFonts w:ascii="Arial" w:eastAsia="Times New Roman" w:hAnsi="Arial"/>
          <w:sz w:val="22"/>
          <w:szCs w:val="22"/>
        </w:rPr>
        <w:t xml:space="preserve"> la Ley de Hacienda del Municipio de Celestún,</w:t>
      </w:r>
      <w:r w:rsidRPr="00D63445">
        <w:rPr>
          <w:rFonts w:ascii="Arial" w:eastAsia="Times New Roman" w:hAnsi="Arial"/>
          <w:sz w:val="22"/>
          <w:szCs w:val="22"/>
        </w:rPr>
        <w:t xml:space="preserve"> por el H. Congreso del Estado de Yucatán y sea publicada en el Diario Oficial del Gobierno del Estado de Yucatán</w:t>
      </w:r>
    </w:p>
    <w:p w:rsidR="004E2CF9" w:rsidRPr="00D63445" w:rsidRDefault="004E2CF9" w:rsidP="00D63445">
      <w:pPr>
        <w:widowControl w:val="0"/>
        <w:autoSpaceDE w:val="0"/>
        <w:autoSpaceDN w:val="0"/>
        <w:adjustRightInd w:val="0"/>
        <w:spacing w:line="360" w:lineRule="auto"/>
        <w:jc w:val="center"/>
        <w:rPr>
          <w:rFonts w:ascii="Arial" w:eastAsia="Times New Roman" w:hAnsi="Arial"/>
          <w:b/>
          <w:bCs/>
          <w:sz w:val="22"/>
          <w:szCs w:val="22"/>
          <w:u w:val="single"/>
          <w:lang w:val="en-US"/>
        </w:rPr>
      </w:pPr>
    </w:p>
    <w:p w:rsidR="00D63445" w:rsidRPr="00C41803" w:rsidRDefault="00D63445" w:rsidP="00C41803">
      <w:pPr>
        <w:rPr>
          <w:rFonts w:ascii="Arial" w:hAnsi="Arial"/>
          <w:b/>
          <w:sz w:val="22"/>
          <w:szCs w:val="22"/>
        </w:rPr>
      </w:pPr>
      <w:r w:rsidRPr="00C41803">
        <w:rPr>
          <w:rFonts w:ascii="Arial" w:hAnsi="Arial"/>
          <w:b/>
          <w:sz w:val="22"/>
          <w:szCs w:val="22"/>
        </w:rPr>
        <w:t xml:space="preserve">RUBRICA                                                        </w:t>
      </w:r>
    </w:p>
    <w:p w:rsidR="00C41803" w:rsidRPr="00C41803" w:rsidRDefault="00D63445" w:rsidP="00D63445">
      <w:pPr>
        <w:rPr>
          <w:rFonts w:ascii="Arial" w:hAnsi="Arial"/>
          <w:b/>
          <w:sz w:val="22"/>
          <w:szCs w:val="22"/>
        </w:rPr>
      </w:pPr>
      <w:r w:rsidRPr="00C41803">
        <w:rPr>
          <w:rFonts w:ascii="Arial" w:hAnsi="Arial"/>
          <w:b/>
          <w:sz w:val="22"/>
          <w:szCs w:val="22"/>
        </w:rPr>
        <w:t xml:space="preserve">YULMA YUMIRA GARCIA CASANOVA  </w:t>
      </w:r>
    </w:p>
    <w:p w:rsidR="00C41803" w:rsidRPr="00C41803" w:rsidRDefault="00C41803" w:rsidP="00D63445">
      <w:pPr>
        <w:rPr>
          <w:rFonts w:ascii="Arial" w:hAnsi="Arial"/>
          <w:b/>
          <w:sz w:val="22"/>
          <w:szCs w:val="22"/>
        </w:rPr>
      </w:pPr>
    </w:p>
    <w:p w:rsidR="00C41803" w:rsidRPr="00C41803" w:rsidRDefault="00C41803" w:rsidP="00C41803">
      <w:pPr>
        <w:jc w:val="right"/>
        <w:rPr>
          <w:rFonts w:ascii="Arial" w:hAnsi="Arial"/>
          <w:b/>
          <w:sz w:val="22"/>
          <w:szCs w:val="22"/>
        </w:rPr>
      </w:pPr>
      <w:r w:rsidRPr="00C41803">
        <w:rPr>
          <w:rFonts w:ascii="Arial" w:hAnsi="Arial"/>
          <w:b/>
          <w:sz w:val="22"/>
          <w:szCs w:val="22"/>
        </w:rPr>
        <w:t xml:space="preserve">RUBRICA                                                        </w:t>
      </w:r>
    </w:p>
    <w:p w:rsidR="00D63445" w:rsidRPr="00C41803" w:rsidRDefault="00D63445" w:rsidP="00C41803">
      <w:pPr>
        <w:jc w:val="right"/>
        <w:rPr>
          <w:rFonts w:ascii="Arial" w:hAnsi="Arial"/>
          <w:b/>
          <w:sz w:val="22"/>
          <w:szCs w:val="22"/>
        </w:rPr>
      </w:pPr>
      <w:r w:rsidRPr="00C41803">
        <w:rPr>
          <w:rFonts w:ascii="Arial" w:hAnsi="Arial"/>
          <w:b/>
          <w:sz w:val="22"/>
          <w:szCs w:val="22"/>
        </w:rPr>
        <w:t xml:space="preserve"> MARTHA DOLORES NOVELO VILLANUEVA</w:t>
      </w:r>
    </w:p>
    <w:sectPr w:rsidR="00D63445" w:rsidRPr="00C41803" w:rsidSect="00C946D2">
      <w:footerReference w:type="default" r:id="rId8"/>
      <w:pgSz w:w="12240" w:h="20160" w:code="5"/>
      <w:pgMar w:top="1417" w:right="1701" w:bottom="1417" w:left="1701" w:header="0" w:footer="0" w:gutter="0"/>
      <w:cols w:space="0" w:equalWidth="0">
        <w:col w:w="839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9A" w:rsidRDefault="00114D9A" w:rsidP="00D2168F">
      <w:pPr>
        <w:spacing w:line="240" w:lineRule="auto"/>
      </w:pPr>
      <w:r>
        <w:separator/>
      </w:r>
    </w:p>
  </w:endnote>
  <w:endnote w:type="continuationSeparator" w:id="0">
    <w:p w:rsidR="00114D9A" w:rsidRDefault="00114D9A"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F9" w:rsidRDefault="004E2CF9">
    <w:pPr>
      <w:pStyle w:val="Piedepgina"/>
      <w:jc w:val="center"/>
    </w:pPr>
    <w:r>
      <w:fldChar w:fldCharType="begin"/>
    </w:r>
    <w:r>
      <w:instrText xml:space="preserve"> PAGE   \* MERGEFORMAT </w:instrText>
    </w:r>
    <w:r>
      <w:fldChar w:fldCharType="separate"/>
    </w:r>
    <w:r w:rsidR="00DC698E">
      <w:rPr>
        <w:noProof/>
      </w:rPr>
      <w:t>2</w:t>
    </w:r>
    <w:r>
      <w:rPr>
        <w:noProof/>
      </w:rPr>
      <w:fldChar w:fldCharType="end"/>
    </w:r>
  </w:p>
  <w:p w:rsidR="004E2CF9" w:rsidRDefault="004E2C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9A" w:rsidRDefault="00114D9A" w:rsidP="00D2168F">
      <w:pPr>
        <w:spacing w:line="240" w:lineRule="auto"/>
      </w:pPr>
      <w:r>
        <w:separator/>
      </w:r>
    </w:p>
  </w:footnote>
  <w:footnote w:type="continuationSeparator" w:id="0">
    <w:p w:rsidR="00114D9A" w:rsidRDefault="00114D9A" w:rsidP="00D2168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88D3B28"/>
    <w:multiLevelType w:val="hybridMultilevel"/>
    <w:tmpl w:val="3628E8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451E88"/>
    <w:multiLevelType w:val="hybridMultilevel"/>
    <w:tmpl w:val="D88899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782977"/>
    <w:multiLevelType w:val="hybridMultilevel"/>
    <w:tmpl w:val="E41ED4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72B7609"/>
    <w:multiLevelType w:val="hybridMultilevel"/>
    <w:tmpl w:val="23024F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7AD04F9"/>
    <w:multiLevelType w:val="hybridMultilevel"/>
    <w:tmpl w:val="ED7C6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83A1153"/>
    <w:multiLevelType w:val="hybridMultilevel"/>
    <w:tmpl w:val="C3B4499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B5B3841"/>
    <w:multiLevelType w:val="hybridMultilevel"/>
    <w:tmpl w:val="9F528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BE25F10"/>
    <w:multiLevelType w:val="hybridMultilevel"/>
    <w:tmpl w:val="4B1A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132091"/>
    <w:multiLevelType w:val="hybridMultilevel"/>
    <w:tmpl w:val="EAF43DA0"/>
    <w:lvl w:ilvl="0" w:tplc="4CC806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E280386"/>
    <w:multiLevelType w:val="hybridMultilevel"/>
    <w:tmpl w:val="D64CC43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86F49F3"/>
    <w:multiLevelType w:val="hybridMultilevel"/>
    <w:tmpl w:val="82128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233EB5"/>
    <w:multiLevelType w:val="hybridMultilevel"/>
    <w:tmpl w:val="5CA8F9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9A0773D"/>
    <w:multiLevelType w:val="hybridMultilevel"/>
    <w:tmpl w:val="D8E43A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0EF5AF9"/>
    <w:multiLevelType w:val="hybridMultilevel"/>
    <w:tmpl w:val="9CD06A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87722D"/>
    <w:multiLevelType w:val="hybridMultilevel"/>
    <w:tmpl w:val="4248394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FDE4F85"/>
    <w:multiLevelType w:val="hybridMultilevel"/>
    <w:tmpl w:val="ECCA919C"/>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34">
    <w:nsid w:val="53912D23"/>
    <w:multiLevelType w:val="hybridMultilevel"/>
    <w:tmpl w:val="B74C92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90B5074"/>
    <w:multiLevelType w:val="hybridMultilevel"/>
    <w:tmpl w:val="6FB281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D3E52AA"/>
    <w:multiLevelType w:val="hybridMultilevel"/>
    <w:tmpl w:val="0A1AF10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37259AB"/>
    <w:multiLevelType w:val="hybridMultilevel"/>
    <w:tmpl w:val="11AAFE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49F77F7"/>
    <w:multiLevelType w:val="hybridMultilevel"/>
    <w:tmpl w:val="269451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CE567C6"/>
    <w:multiLevelType w:val="hybridMultilevel"/>
    <w:tmpl w:val="C32E729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FBD7A66"/>
    <w:multiLevelType w:val="hybridMultilevel"/>
    <w:tmpl w:val="168417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45"/>
  </w:num>
  <w:num w:numId="16">
    <w:abstractNumId w:val="37"/>
  </w:num>
  <w:num w:numId="17">
    <w:abstractNumId w:val="25"/>
  </w:num>
  <w:num w:numId="18">
    <w:abstractNumId w:val="40"/>
  </w:num>
  <w:num w:numId="19">
    <w:abstractNumId w:val="33"/>
  </w:num>
  <w:num w:numId="20">
    <w:abstractNumId w:val="17"/>
  </w:num>
  <w:num w:numId="21">
    <w:abstractNumId w:val="43"/>
  </w:num>
  <w:num w:numId="22">
    <w:abstractNumId w:val="21"/>
  </w:num>
  <w:num w:numId="23">
    <w:abstractNumId w:val="41"/>
  </w:num>
  <w:num w:numId="24">
    <w:abstractNumId w:val="34"/>
  </w:num>
  <w:num w:numId="25">
    <w:abstractNumId w:val="30"/>
  </w:num>
  <w:num w:numId="26">
    <w:abstractNumId w:val="27"/>
  </w:num>
  <w:num w:numId="27">
    <w:abstractNumId w:val="28"/>
  </w:num>
  <w:num w:numId="28">
    <w:abstractNumId w:val="39"/>
  </w:num>
  <w:num w:numId="29">
    <w:abstractNumId w:val="36"/>
  </w:num>
  <w:num w:numId="30">
    <w:abstractNumId w:val="16"/>
  </w:num>
  <w:num w:numId="31">
    <w:abstractNumId w:val="44"/>
  </w:num>
  <w:num w:numId="32">
    <w:abstractNumId w:val="29"/>
  </w:num>
  <w:num w:numId="33">
    <w:abstractNumId w:val="35"/>
  </w:num>
  <w:num w:numId="34">
    <w:abstractNumId w:val="31"/>
  </w:num>
  <w:num w:numId="35">
    <w:abstractNumId w:val="15"/>
  </w:num>
  <w:num w:numId="36">
    <w:abstractNumId w:val="42"/>
  </w:num>
  <w:num w:numId="37">
    <w:abstractNumId w:val="19"/>
  </w:num>
  <w:num w:numId="38">
    <w:abstractNumId w:val="26"/>
  </w:num>
  <w:num w:numId="39">
    <w:abstractNumId w:val="18"/>
  </w:num>
  <w:num w:numId="40">
    <w:abstractNumId w:val="23"/>
  </w:num>
  <w:num w:numId="41">
    <w:abstractNumId w:val="32"/>
  </w:num>
  <w:num w:numId="42">
    <w:abstractNumId w:val="20"/>
  </w:num>
  <w:num w:numId="43">
    <w:abstractNumId w:val="22"/>
  </w:num>
  <w:num w:numId="44">
    <w:abstractNumId w:val="14"/>
  </w:num>
  <w:num w:numId="45">
    <w:abstractNumId w:val="3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7"/>
    <w:rsid w:val="00001E49"/>
    <w:rsid w:val="00002CBE"/>
    <w:rsid w:val="000150A7"/>
    <w:rsid w:val="000275A3"/>
    <w:rsid w:val="0004167F"/>
    <w:rsid w:val="000733AE"/>
    <w:rsid w:val="00090A57"/>
    <w:rsid w:val="000A1EE0"/>
    <w:rsid w:val="000C4F32"/>
    <w:rsid w:val="000F52D8"/>
    <w:rsid w:val="00114D9A"/>
    <w:rsid w:val="00127C7D"/>
    <w:rsid w:val="001526C8"/>
    <w:rsid w:val="0015601E"/>
    <w:rsid w:val="00171634"/>
    <w:rsid w:val="00184EA3"/>
    <w:rsid w:val="001859CB"/>
    <w:rsid w:val="00194FBC"/>
    <w:rsid w:val="001A4914"/>
    <w:rsid w:val="001D5700"/>
    <w:rsid w:val="001E00DF"/>
    <w:rsid w:val="0022110F"/>
    <w:rsid w:val="002234C4"/>
    <w:rsid w:val="002310B7"/>
    <w:rsid w:val="00232451"/>
    <w:rsid w:val="00246AF0"/>
    <w:rsid w:val="00252657"/>
    <w:rsid w:val="002528B5"/>
    <w:rsid w:val="00273357"/>
    <w:rsid w:val="002836B4"/>
    <w:rsid w:val="002A23C7"/>
    <w:rsid w:val="002B2BE1"/>
    <w:rsid w:val="002C7FBD"/>
    <w:rsid w:val="002D27ED"/>
    <w:rsid w:val="002F66A2"/>
    <w:rsid w:val="003010B8"/>
    <w:rsid w:val="0032215B"/>
    <w:rsid w:val="003B559D"/>
    <w:rsid w:val="003E1DAA"/>
    <w:rsid w:val="003E268C"/>
    <w:rsid w:val="00406526"/>
    <w:rsid w:val="00410729"/>
    <w:rsid w:val="0041120A"/>
    <w:rsid w:val="004258A2"/>
    <w:rsid w:val="00426FBA"/>
    <w:rsid w:val="00442C56"/>
    <w:rsid w:val="004479DD"/>
    <w:rsid w:val="00452AD2"/>
    <w:rsid w:val="00464424"/>
    <w:rsid w:val="004834BF"/>
    <w:rsid w:val="0049489B"/>
    <w:rsid w:val="00495889"/>
    <w:rsid w:val="004A3F68"/>
    <w:rsid w:val="004B236E"/>
    <w:rsid w:val="004B534D"/>
    <w:rsid w:val="004D00DA"/>
    <w:rsid w:val="004D7176"/>
    <w:rsid w:val="004E2CF9"/>
    <w:rsid w:val="004F4957"/>
    <w:rsid w:val="00512380"/>
    <w:rsid w:val="00534DF3"/>
    <w:rsid w:val="00537065"/>
    <w:rsid w:val="0057495F"/>
    <w:rsid w:val="005C7519"/>
    <w:rsid w:val="005D726E"/>
    <w:rsid w:val="005F203B"/>
    <w:rsid w:val="005F6EFF"/>
    <w:rsid w:val="005F709D"/>
    <w:rsid w:val="00607562"/>
    <w:rsid w:val="00637D97"/>
    <w:rsid w:val="006614B3"/>
    <w:rsid w:val="00676731"/>
    <w:rsid w:val="006774A6"/>
    <w:rsid w:val="00692095"/>
    <w:rsid w:val="00694CB3"/>
    <w:rsid w:val="006A15D8"/>
    <w:rsid w:val="006B23F2"/>
    <w:rsid w:val="006B2546"/>
    <w:rsid w:val="006B6D16"/>
    <w:rsid w:val="006C3B8F"/>
    <w:rsid w:val="006D2375"/>
    <w:rsid w:val="006E72EE"/>
    <w:rsid w:val="0070229A"/>
    <w:rsid w:val="0071370D"/>
    <w:rsid w:val="0072227D"/>
    <w:rsid w:val="00724317"/>
    <w:rsid w:val="0073141C"/>
    <w:rsid w:val="00750C81"/>
    <w:rsid w:val="00785B73"/>
    <w:rsid w:val="007876F4"/>
    <w:rsid w:val="007F1E63"/>
    <w:rsid w:val="00805367"/>
    <w:rsid w:val="00877431"/>
    <w:rsid w:val="00884DA8"/>
    <w:rsid w:val="00890483"/>
    <w:rsid w:val="008C5167"/>
    <w:rsid w:val="008D5DD9"/>
    <w:rsid w:val="00900A8F"/>
    <w:rsid w:val="00923C8D"/>
    <w:rsid w:val="0093313D"/>
    <w:rsid w:val="00957329"/>
    <w:rsid w:val="00980722"/>
    <w:rsid w:val="00994C89"/>
    <w:rsid w:val="00997D04"/>
    <w:rsid w:val="009A796A"/>
    <w:rsid w:val="009C2C6B"/>
    <w:rsid w:val="009C4748"/>
    <w:rsid w:val="009D0A17"/>
    <w:rsid w:val="009D2E17"/>
    <w:rsid w:val="009D3811"/>
    <w:rsid w:val="009D4C2C"/>
    <w:rsid w:val="009E144E"/>
    <w:rsid w:val="009E3FE5"/>
    <w:rsid w:val="009F6012"/>
    <w:rsid w:val="009F6854"/>
    <w:rsid w:val="00A15AA5"/>
    <w:rsid w:val="00A15FE1"/>
    <w:rsid w:val="00A16F8A"/>
    <w:rsid w:val="00A26081"/>
    <w:rsid w:val="00A47711"/>
    <w:rsid w:val="00A55210"/>
    <w:rsid w:val="00A824AD"/>
    <w:rsid w:val="00A975E7"/>
    <w:rsid w:val="00AA196D"/>
    <w:rsid w:val="00AB3FEE"/>
    <w:rsid w:val="00B305B0"/>
    <w:rsid w:val="00B34233"/>
    <w:rsid w:val="00B36F80"/>
    <w:rsid w:val="00B44ED6"/>
    <w:rsid w:val="00B80D42"/>
    <w:rsid w:val="00BA26C7"/>
    <w:rsid w:val="00BA2D4A"/>
    <w:rsid w:val="00BE1F91"/>
    <w:rsid w:val="00BE65C3"/>
    <w:rsid w:val="00C06B62"/>
    <w:rsid w:val="00C242E4"/>
    <w:rsid w:val="00C278F0"/>
    <w:rsid w:val="00C30D06"/>
    <w:rsid w:val="00C41803"/>
    <w:rsid w:val="00C52595"/>
    <w:rsid w:val="00C64482"/>
    <w:rsid w:val="00C72276"/>
    <w:rsid w:val="00C744AC"/>
    <w:rsid w:val="00C90007"/>
    <w:rsid w:val="00C946D2"/>
    <w:rsid w:val="00CB0448"/>
    <w:rsid w:val="00CD0EC0"/>
    <w:rsid w:val="00CD3907"/>
    <w:rsid w:val="00CE05F4"/>
    <w:rsid w:val="00CE64AE"/>
    <w:rsid w:val="00D10168"/>
    <w:rsid w:val="00D2168F"/>
    <w:rsid w:val="00D44EDB"/>
    <w:rsid w:val="00D50F2D"/>
    <w:rsid w:val="00D5232B"/>
    <w:rsid w:val="00D63445"/>
    <w:rsid w:val="00DA3306"/>
    <w:rsid w:val="00DC698E"/>
    <w:rsid w:val="00DD607B"/>
    <w:rsid w:val="00DE1AD2"/>
    <w:rsid w:val="00E34658"/>
    <w:rsid w:val="00E506C8"/>
    <w:rsid w:val="00E57093"/>
    <w:rsid w:val="00E73451"/>
    <w:rsid w:val="00E75A6D"/>
    <w:rsid w:val="00E96C03"/>
    <w:rsid w:val="00EA649D"/>
    <w:rsid w:val="00EB1AF7"/>
    <w:rsid w:val="00EC38A5"/>
    <w:rsid w:val="00ED6278"/>
    <w:rsid w:val="00EE3CF8"/>
    <w:rsid w:val="00EE7E32"/>
    <w:rsid w:val="00F417F8"/>
    <w:rsid w:val="00F4754A"/>
    <w:rsid w:val="00F6287F"/>
    <w:rsid w:val="00F90681"/>
    <w:rsid w:val="00F92396"/>
    <w:rsid w:val="00F94AE6"/>
    <w:rsid w:val="00FF144B"/>
    <w:rsid w:val="00FF5BEC"/>
    <w:rsid w:val="00FF64E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4F404-002D-42C6-8B54-29DE31A1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basedOn w:val="Normal"/>
    <w:link w:val="EncabezadoCar"/>
    <w:uiPriority w:val="99"/>
    <w:unhideWhenUsed/>
    <w:rsid w:val="00252657"/>
    <w:pPr>
      <w:tabs>
        <w:tab w:val="center" w:pos="4419"/>
        <w:tab w:val="right" w:pos="8838"/>
      </w:tabs>
    </w:pPr>
  </w:style>
  <w:style w:type="character" w:customStyle="1" w:styleId="EncabezadoCar">
    <w:name w:val="Encabezado Car"/>
    <w:basedOn w:val="Fuentedeprrafopredeter"/>
    <w:link w:val="Encabezado"/>
    <w:uiPriority w:val="99"/>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de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customStyle="1" w:styleId="CarCar2CarCarCarCarCarCarCarCarCarCarCarCarCarCarCarCarCarCarCar">
    <w:name w:val="Car Car2 Car Car Car Car Car Car Car Car Car Car Car Car Car Car Car Car Car Car Car"/>
    <w:basedOn w:val="Normal"/>
    <w:rsid w:val="00DE1AD2"/>
    <w:pPr>
      <w:spacing w:after="160" w:line="240" w:lineRule="exact"/>
      <w:jc w:val="right"/>
    </w:pPr>
    <w:rPr>
      <w:rFonts w:ascii="Verdana" w:eastAsia="Times New Roman" w:hAnsi="Verdana" w:cs="Verdana"/>
      <w:lang w:eastAsia="en-US"/>
    </w:rPr>
  </w:style>
  <w:style w:type="paragraph" w:styleId="Prrafodelista">
    <w:name w:val="List Paragraph"/>
    <w:basedOn w:val="Normal"/>
    <w:uiPriority w:val="34"/>
    <w:qFormat/>
    <w:rsid w:val="00E96C03"/>
    <w:pPr>
      <w:spacing w:after="160" w:line="259"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442C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3B8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B8F"/>
    <w:rPr>
      <w:rFonts w:ascii="Segoe UI" w:eastAsia="Calibri" w:hAnsi="Segoe UI" w:cs="Segoe UI"/>
      <w:sz w:val="18"/>
      <w:szCs w:val="18"/>
      <w:lang w:eastAsia="es-MX"/>
    </w:rPr>
  </w:style>
  <w:style w:type="table" w:customStyle="1" w:styleId="Tablaconcuadrcula1">
    <w:name w:val="Tabla con cuadrícula1"/>
    <w:basedOn w:val="Tablanormal"/>
    <w:next w:val="Tablaconcuadrcula"/>
    <w:uiPriority w:val="59"/>
    <w:rsid w:val="00D63445"/>
    <w:pPr>
      <w:spacing w:line="240" w:lineRule="auto"/>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D6344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2CAE-5E4B-428C-8D7F-0777A3FB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3115</Words>
  <Characters>17137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Arlethe</cp:lastModifiedBy>
  <cp:revision>2</cp:revision>
  <cp:lastPrinted>2019-01-05T16:02:00Z</cp:lastPrinted>
  <dcterms:created xsi:type="dcterms:W3CDTF">2019-11-13T20:17:00Z</dcterms:created>
  <dcterms:modified xsi:type="dcterms:W3CDTF">2019-11-13T20:17:00Z</dcterms:modified>
</cp:coreProperties>
</file>